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BC23" w14:textId="1B6E35A8" w:rsidR="00714C91" w:rsidRPr="00043863" w:rsidRDefault="005B1DAC" w:rsidP="00133A4F">
      <w:pPr>
        <w:spacing w:line="276" w:lineRule="auto"/>
        <w:ind w:left="142" w:right="-1039"/>
        <w:rPr>
          <w:rFonts w:ascii="Calibri" w:eastAsia="Calibri" w:hAnsi="Calibri" w:cs="Calibri"/>
          <w:b/>
          <w:color w:val="7030A0"/>
          <w:sz w:val="48"/>
          <w:szCs w:val="48"/>
          <w:lang w:val="pt-PT" w:eastAsia="en-GB"/>
        </w:rPr>
      </w:pPr>
      <w:r w:rsidRPr="00043863">
        <w:rPr>
          <w:rFonts w:ascii="Calibri" w:eastAsia="Calibri" w:hAnsi="Calibri" w:cs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5C9E1" wp14:editId="72706E66">
                <wp:simplePos x="0" y="0"/>
                <wp:positionH relativeFrom="column">
                  <wp:posOffset>4572000</wp:posOffset>
                </wp:positionH>
                <wp:positionV relativeFrom="paragraph">
                  <wp:posOffset>-785182</wp:posOffset>
                </wp:positionV>
                <wp:extent cx="2073910" cy="2374710"/>
                <wp:effectExtent l="0" t="0" r="2159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374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B858EE4" w14:textId="1E5CF991" w:rsidR="00714C91" w:rsidRPr="005B1DAC" w:rsidRDefault="00866A00" w:rsidP="000A72F7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/>
                              </w:rPr>
                            </w:pPr>
                            <w:r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>S</w:t>
                            </w:r>
                            <w:r w:rsidR="00344586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>ocie</w:t>
                            </w:r>
                            <w:r w:rsidR="00274608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>dade</w:t>
                            </w:r>
                            <w:r w:rsidR="0037016A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 xml:space="preserve"> Civil</w:t>
                            </w:r>
                            <w:r w:rsidR="00274608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 xml:space="preserve"> activa</w:t>
                            </w:r>
                            <w:r w:rsidR="00344586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 xml:space="preserve"> </w:t>
                            </w:r>
                            <w:r w:rsidR="0037016A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>para a educação</w:t>
                            </w:r>
                            <w:r w:rsidR="00344586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 xml:space="preserve"> digital </w:t>
                            </w:r>
                            <w:r w:rsidR="008B270A" w:rsidRPr="005B1DAC"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lang w:val="pt-BR" w:eastAsia="en-ZW"/>
                              </w:rPr>
                              <w:t>inclusiva na Ruanda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15C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-61.85pt;width:163.3pt;height:1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" fillcolor="#92d050" strokecolor="#92d050" strokeweight=".5pt">
                <v:textbox>
                  <w:txbxContent>
                    <w:p w14:paraId="1B858EE4" w14:textId="1E5CF991" w:rsidR="00714C91" w:rsidRPr="005B1DAC" w:rsidRDefault="00866A00" w:rsidP="000A72F7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  <w:sz w:val="42"/>
                          <w:szCs w:val="42"/>
                          <w:lang w:val="pt-BR"/>
                        </w:rPr>
                      </w:pPr>
                      <w:r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>S</w:t>
                      </w:r>
                      <w:r w:rsidR="00344586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>ocie</w:t>
                      </w:r>
                      <w:r w:rsidR="00274608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>dade</w:t>
                      </w:r>
                      <w:r w:rsidR="0037016A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 xml:space="preserve"> Civil</w:t>
                      </w:r>
                      <w:r w:rsidR="00274608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 xml:space="preserve"> activa</w:t>
                      </w:r>
                      <w:r w:rsidR="00344586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 xml:space="preserve"> </w:t>
                      </w:r>
                      <w:r w:rsidR="0037016A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>para a educação</w:t>
                      </w:r>
                      <w:r w:rsidR="00344586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 xml:space="preserve"> digital </w:t>
                      </w:r>
                      <w:r w:rsidR="008B270A" w:rsidRPr="005B1DAC">
                        <w:rPr>
                          <w:rFonts w:eastAsia="Calibri" w:cs="Calibri"/>
                          <w:b/>
                          <w:bCs/>
                          <w:color w:val="FFFFFF"/>
                          <w:sz w:val="42"/>
                          <w:szCs w:val="42"/>
                          <w:lang w:val="pt-BR" w:eastAsia="en-ZW"/>
                        </w:rPr>
                        <w:t>inclusiva na Ruanda</w:t>
                      </w:r>
                    </w:p>
                  </w:txbxContent>
                </v:textbox>
              </v:shape>
            </w:pict>
          </mc:Fallback>
        </mc:AlternateContent>
      </w:r>
      <w:r w:rsidR="00414743" w:rsidRPr="00043863">
        <w:rPr>
          <w:rFonts w:ascii="Calibri" w:eastAsia="Calibri" w:hAnsi="Calibri" w:cs="Calibri"/>
          <w:b/>
          <w:noProof/>
          <w:color w:val="7030A0"/>
          <w:sz w:val="48"/>
          <w:szCs w:val="4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40B3" wp14:editId="292D5155">
                <wp:simplePos x="0" y="0"/>
                <wp:positionH relativeFrom="column">
                  <wp:posOffset>-947530</wp:posOffset>
                </wp:positionH>
                <wp:positionV relativeFrom="paragraph">
                  <wp:posOffset>5257413</wp:posOffset>
                </wp:positionV>
                <wp:extent cx="7593440" cy="503555"/>
                <wp:effectExtent l="0" t="0" r="1270" b="444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440" cy="503555"/>
                        </a:xfrm>
                        <a:prstGeom prst="rect">
                          <a:avLst/>
                        </a:prstGeom>
                        <a:solidFill>
                          <a:srgbClr val="80BB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B8B1C" w14:textId="36931996" w:rsidR="00714C91" w:rsidRPr="005D3AFF" w:rsidRDefault="00714C91" w:rsidP="00714C91">
                            <w:pPr>
                              <w:ind w:left="142" w:right="-26" w:firstLine="1134"/>
                              <w:rPr>
                                <w:b/>
                                <w:color w:val="7030A0"/>
                                <w:lang w:val="pt-BR"/>
                              </w:rPr>
                            </w:pPr>
                            <w:r w:rsidRPr="005D3AFF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pt-BR"/>
                              </w:rPr>
                              <w:t>RESU</w:t>
                            </w:r>
                            <w:r w:rsidR="005D3AFF" w:rsidRPr="005D3AFF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pt-BR"/>
                              </w:rPr>
                              <w:t xml:space="preserve">MO </w:t>
                            </w:r>
                            <w:r w:rsidR="005D3AFF" w:rsidRPr="005D3AFF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pt-BR"/>
                              </w:rPr>
                              <w:t>DOS RESULTADOS E L</w:t>
                            </w:r>
                            <w:r w:rsidR="005D3AFF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pt-BR"/>
                              </w:rPr>
                              <w:t>I</w:t>
                            </w:r>
                            <w:r w:rsidR="0007754E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pt-BR"/>
                              </w:rPr>
                              <w:t>ÇÕES</w:t>
                            </w:r>
                            <w:r w:rsidRPr="005D3AFF">
                              <w:rPr>
                                <w:b/>
                                <w:color w:val="7030A0"/>
                                <w:sz w:val="48"/>
                                <w:szCs w:val="48"/>
                                <w:lang w:val="pt-BR"/>
                              </w:rPr>
                              <w:tab/>
                            </w:r>
                          </w:p>
                          <w:p w14:paraId="2DB47D86" w14:textId="77777777" w:rsidR="00714C91" w:rsidRPr="005D3AFF" w:rsidRDefault="00714C91" w:rsidP="00714C91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E40B3" id="Rectangle 452" o:spid="_x0000_s1027" style="position:absolute;left:0;text-align:left;margin-left:-74.6pt;margin-top:413.95pt;width:597.9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" fillcolor="#80bb2a" stroked="f" strokeweight="1pt">
                <v:textbox>
                  <w:txbxContent>
                    <w:p w14:paraId="1A1B8B1C" w14:textId="36931996" w:rsidR="00714C91" w:rsidRPr="005D3AFF" w:rsidRDefault="00714C91" w:rsidP="00714C91">
                      <w:pPr>
                        <w:ind w:left="142" w:right="-26" w:firstLine="1134"/>
                        <w:rPr>
                          <w:b/>
                          <w:color w:val="7030A0"/>
                          <w:lang w:val="pt-BR"/>
                        </w:rPr>
                      </w:pPr>
                      <w:r w:rsidRPr="005D3AFF">
                        <w:rPr>
                          <w:b/>
                          <w:color w:val="FFFFFF"/>
                          <w:sz w:val="48"/>
                          <w:szCs w:val="48"/>
                          <w:lang w:val="pt-BR"/>
                        </w:rPr>
                        <w:t>RESU</w:t>
                      </w:r>
                      <w:r w:rsidR="005D3AFF" w:rsidRPr="005D3AFF">
                        <w:rPr>
                          <w:b/>
                          <w:color w:val="FFFFFF"/>
                          <w:sz w:val="48"/>
                          <w:szCs w:val="48"/>
                          <w:lang w:val="pt-BR"/>
                        </w:rPr>
                        <w:t>MO DOS RESULTADOS E L</w:t>
                      </w:r>
                      <w:r w:rsidR="005D3AFF">
                        <w:rPr>
                          <w:b/>
                          <w:color w:val="FFFFFF"/>
                          <w:sz w:val="48"/>
                          <w:szCs w:val="48"/>
                          <w:lang w:val="pt-BR"/>
                        </w:rPr>
                        <w:t>I</w:t>
                      </w:r>
                      <w:r w:rsidR="0007754E">
                        <w:rPr>
                          <w:b/>
                          <w:color w:val="FFFFFF"/>
                          <w:sz w:val="48"/>
                          <w:szCs w:val="48"/>
                          <w:lang w:val="pt-BR"/>
                        </w:rPr>
                        <w:t>ÇÕES</w:t>
                      </w:r>
                      <w:r w:rsidRPr="005D3AFF">
                        <w:rPr>
                          <w:b/>
                          <w:color w:val="7030A0"/>
                          <w:sz w:val="48"/>
                          <w:szCs w:val="48"/>
                          <w:lang w:val="pt-BR"/>
                        </w:rPr>
                        <w:tab/>
                      </w:r>
                    </w:p>
                    <w:p w14:paraId="2DB47D86" w14:textId="77777777" w:rsidR="00714C91" w:rsidRPr="005D3AFF" w:rsidRDefault="00714C91" w:rsidP="00714C91">
                      <w:pPr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743" w:rsidRPr="00043863">
        <w:rPr>
          <w:rFonts w:ascii="Calibri" w:eastAsia="Calibri" w:hAnsi="Calibri" w:cs="Calibri"/>
          <w:noProof/>
          <w:lang w:val="en-ZW" w:eastAsia="en-ZW"/>
        </w:rPr>
        <w:drawing>
          <wp:anchor distT="0" distB="0" distL="114300" distR="114300" simplePos="0" relativeHeight="251660288" behindDoc="1" locked="0" layoutInCell="1" hidden="0" allowOverlap="1" wp14:anchorId="54DC31DB" wp14:editId="119E504F">
            <wp:simplePos x="0" y="0"/>
            <wp:positionH relativeFrom="margin">
              <wp:posOffset>-947420</wp:posOffset>
            </wp:positionH>
            <wp:positionV relativeFrom="page">
              <wp:posOffset>0</wp:posOffset>
            </wp:positionV>
            <wp:extent cx="7593330" cy="6057900"/>
            <wp:effectExtent l="0" t="0" r="1270" b="0"/>
            <wp:wrapSquare wrapText="bothSides"/>
            <wp:docPr id="32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0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E8" w:rsidRPr="00043863">
        <w:rPr>
          <w:rFonts w:ascii="Calibri" w:eastAsia="Calibri" w:hAnsi="Calibri" w:cs="Calibri"/>
          <w:noProof/>
          <w:lang w:val="en-ZW" w:eastAsia="en-ZW"/>
        </w:rPr>
        <w:drawing>
          <wp:anchor distT="0" distB="0" distL="114300" distR="114300" simplePos="0" relativeHeight="251665408" behindDoc="1" locked="0" layoutInCell="1" allowOverlap="1" wp14:anchorId="7156AFC5" wp14:editId="4CC18D70">
            <wp:simplePos x="0" y="0"/>
            <wp:positionH relativeFrom="column">
              <wp:posOffset>-19050</wp:posOffset>
            </wp:positionH>
            <wp:positionV relativeFrom="paragraph">
              <wp:posOffset>4454525</wp:posOffset>
            </wp:positionV>
            <wp:extent cx="9525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168" y="21144"/>
                <wp:lineTo x="211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6812C" w14:textId="27AFCB07" w:rsidR="00714C91" w:rsidRPr="00043863" w:rsidRDefault="00414743" w:rsidP="00133A4F">
      <w:pPr>
        <w:spacing w:after="0" w:line="276" w:lineRule="auto"/>
        <w:ind w:right="-1038"/>
        <w:rPr>
          <w:rFonts w:eastAsia="Calibri" w:cs="Calibri"/>
          <w:b/>
          <w:color w:val="323E4F" w:themeColor="text2" w:themeShade="BF"/>
          <w:sz w:val="48"/>
          <w:szCs w:val="48"/>
          <w:lang w:val="pt-PT" w:eastAsia="en-GB"/>
        </w:rPr>
      </w:pPr>
      <w:r w:rsidRPr="00043863">
        <w:rPr>
          <w:rFonts w:eastAsia="Calibri" w:cs="Calibri"/>
          <w:bCs/>
          <w:noProof/>
          <w:color w:val="323E4F" w:themeColor="text2" w:themeShade="BF"/>
          <w:sz w:val="21"/>
          <w:szCs w:val="21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AE5C1" wp14:editId="55081825">
                <wp:simplePos x="0" y="0"/>
                <wp:positionH relativeFrom="column">
                  <wp:posOffset>4872251</wp:posOffset>
                </wp:positionH>
                <wp:positionV relativeFrom="paragraph">
                  <wp:posOffset>836892</wp:posOffset>
                </wp:positionV>
                <wp:extent cx="1119116" cy="2040835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2040835"/>
                        </a:xfrm>
                        <a:prstGeom prst="rect">
                          <a:avLst/>
                        </a:prstGeom>
                        <a:solidFill>
                          <a:srgbClr val="6C30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174E9" w14:textId="6826211D" w:rsidR="00714C91" w:rsidRPr="00714C91" w:rsidRDefault="00714C91" w:rsidP="00414743">
                            <w:pPr>
                              <w:shd w:val="clear" w:color="auto" w:fill="6C3089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JUN</w:t>
                            </w:r>
                            <w:r w:rsidR="00782C33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HO</w:t>
                            </w:r>
                            <w:r w:rsidR="002010E2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2D1EE62A" w14:textId="77777777" w:rsidR="00714C91" w:rsidRPr="00714C91" w:rsidRDefault="00714C91" w:rsidP="00414743">
                            <w:pPr>
                              <w:shd w:val="clear" w:color="auto" w:fill="6C3089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14C91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AE5C1" id="Text Box 32" o:spid="_x0000_s1028" type="#_x0000_t202" style="position:absolute;margin-left:383.65pt;margin-top:65.9pt;width:88.1pt;height:1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" fillcolor="#6c3089" stroked="f" strokeweight=".5pt">
                <v:textbox>
                  <w:txbxContent>
                    <w:p w14:paraId="3FF174E9" w14:textId="6826211D" w:rsidR="00714C91" w:rsidRPr="00714C91" w:rsidRDefault="00714C91" w:rsidP="00414743">
                      <w:pPr>
                        <w:shd w:val="clear" w:color="auto" w:fill="6C3089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>JUN</w:t>
                      </w:r>
                      <w:r w:rsidR="00782C33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>HO</w:t>
                      </w:r>
                      <w:r w:rsidR="002010E2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2D1EE62A" w14:textId="77777777" w:rsidR="00714C91" w:rsidRPr="00714C91" w:rsidRDefault="00714C91" w:rsidP="00414743">
                      <w:pPr>
                        <w:shd w:val="clear" w:color="auto" w:fill="6C3089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714C91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782C33" w:rsidRPr="00043863">
        <w:rPr>
          <w:rFonts w:eastAsia="Calibri" w:cs="Calibri"/>
          <w:b/>
          <w:color w:val="323E4F" w:themeColor="text2" w:themeShade="BF"/>
          <w:sz w:val="48"/>
          <w:szCs w:val="48"/>
          <w:lang w:val="pt-PT" w:eastAsia="en-GB"/>
        </w:rPr>
        <w:t>Utilização da Tecnologia da Educação como resposta ao</w:t>
      </w:r>
      <w:r w:rsidR="00714C91" w:rsidRPr="00043863">
        <w:rPr>
          <w:rFonts w:eastAsia="Calibri" w:cs="Calibri"/>
          <w:b/>
          <w:color w:val="323E4F" w:themeColor="text2" w:themeShade="BF"/>
          <w:sz w:val="48"/>
          <w:szCs w:val="48"/>
          <w:lang w:val="pt-PT" w:eastAsia="en-GB"/>
        </w:rPr>
        <w:t xml:space="preserve"> COVID-19</w:t>
      </w:r>
    </w:p>
    <w:p w14:paraId="5B967BDB" w14:textId="628E2676" w:rsidR="00714C91" w:rsidRPr="00043863" w:rsidRDefault="00714C91" w:rsidP="00133A4F">
      <w:pPr>
        <w:spacing w:line="276" w:lineRule="auto"/>
        <w:ind w:right="-1039"/>
        <w:rPr>
          <w:rFonts w:ascii="Calibri" w:eastAsia="Calibri" w:hAnsi="Calibri" w:cs="Calibri"/>
          <w:bCs/>
          <w:color w:val="323E4F" w:themeColor="text2" w:themeShade="BF"/>
          <w:lang w:val="pt-PT" w:eastAsia="en-GB"/>
        </w:rPr>
        <w:sectPr w:rsidR="00714C91" w:rsidRPr="00043863" w:rsidSect="003E32E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258" w:right="1535" w:bottom="1440" w:left="1440" w:header="708" w:footer="708" w:gutter="0"/>
          <w:pgNumType w:start="1"/>
          <w:cols w:space="720"/>
          <w:titlePg/>
          <w:docGrid w:linePitch="299"/>
        </w:sectPr>
      </w:pPr>
    </w:p>
    <w:p w14:paraId="318B3588" w14:textId="24031A32" w:rsidR="00783C4F" w:rsidRPr="00043863" w:rsidRDefault="00783C4F" w:rsidP="00783C4F">
      <w:pPr>
        <w:spacing w:line="276" w:lineRule="auto"/>
        <w:ind w:right="1796"/>
        <w:jc w:val="both"/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</w:pP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Este Resumo de Aprendizagem foi compilado pela Campanha Global pela Educação (CGE) para destacar o trabalho do projecto, resultados e lições do projecto da Coalizão</w:t>
      </w:r>
      <w:r w:rsidR="00FD0596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da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Educação para Todos </w:t>
      </w:r>
      <w:r w:rsidR="00FD0596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na Ruanda 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(REFAC) intitulado </w:t>
      </w:r>
      <w:r w:rsidRPr="00043863">
        <w:rPr>
          <w:rFonts w:eastAsia="Calibri" w:cs="Calibri"/>
          <w:b/>
          <w:bCs/>
          <w:i/>
          <w:iCs/>
          <w:color w:val="323E4F" w:themeColor="text2" w:themeShade="BF"/>
          <w:sz w:val="20"/>
          <w:szCs w:val="20"/>
          <w:lang w:val="pt-PT" w:eastAsia="en-GB"/>
        </w:rPr>
        <w:t>“Sociedade civil activa para educação digital inclusiva na Ruanda”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. O projecto foi concebido e implementado no âmbito da Iniciativa Alemã BACKUP de Resiliência </w:t>
      </w:r>
      <w:r w:rsidR="00A6369F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ao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COVID-19 através da Digitalização (RESICODI) para acompanhar a implementação da Agenda Educação 2030 e das metas do ODS4. O conteúdo apresentado neste resumo de aprendizagem foi gerado a partir das actividades de Monitoramento e Avaliação (M&amp;A) estabelecidas pelo Secretariado da CGE para que os parceiros da coalizão nacional relatem o progresso e os resultados dos seus respectivos projectos ao nível de país. O relatório de final de projecto submetido pela REFAC à CGE foi a fonte primária das lições e experiências compartilhadas neste Resumo.</w:t>
      </w:r>
    </w:p>
    <w:p w14:paraId="371A589A" w14:textId="2E0C5C10" w:rsidR="00714C91" w:rsidRPr="00043863" w:rsidRDefault="00714C91" w:rsidP="00133A4F">
      <w:pPr>
        <w:spacing w:line="276" w:lineRule="auto"/>
        <w:ind w:right="1796"/>
        <w:jc w:val="both"/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sectPr w:rsidR="00714C91" w:rsidRPr="00043863" w:rsidSect="00EA48A9">
          <w:type w:val="continuous"/>
          <w:pgSz w:w="11906" w:h="16838"/>
          <w:pgMar w:top="1258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08C5CFD6" w14:textId="77777777" w:rsidR="00714C91" w:rsidRPr="00043863" w:rsidRDefault="00714C91" w:rsidP="00133A4F">
      <w:pPr>
        <w:spacing w:before="200" w:line="276" w:lineRule="auto"/>
        <w:ind w:left="284"/>
        <w:jc w:val="both"/>
        <w:rPr>
          <w:rFonts w:ascii="Calibri" w:eastAsia="Calibri" w:hAnsi="Calibri" w:cs="Calibri"/>
          <w:b/>
          <w:color w:val="7030A0"/>
          <w:sz w:val="28"/>
          <w:szCs w:val="28"/>
          <w:lang w:val="pt-PT" w:eastAsia="en-GB"/>
        </w:rPr>
      </w:pPr>
    </w:p>
    <w:p w14:paraId="27C2E796" w14:textId="47486405" w:rsidR="00714C91" w:rsidRPr="00043863" w:rsidRDefault="00316F4F" w:rsidP="00414743">
      <w:pPr>
        <w:spacing w:before="200" w:line="276" w:lineRule="auto"/>
        <w:ind w:left="284"/>
        <w:jc w:val="both"/>
        <w:rPr>
          <w:rFonts w:eastAsia="Calibri" w:cs="Calibri"/>
          <w:b/>
          <w:color w:val="323E4F" w:themeColor="text2" w:themeShade="BF"/>
          <w:sz w:val="28"/>
          <w:szCs w:val="28"/>
          <w:lang w:val="pt-PT" w:eastAsia="en-GB"/>
        </w:rPr>
      </w:pPr>
      <w:r w:rsidRPr="00043863">
        <w:rPr>
          <w:rFonts w:eastAsia="Calibri" w:cs="Calibri"/>
          <w:b/>
          <w:color w:val="323E4F" w:themeColor="text2" w:themeShade="BF"/>
          <w:sz w:val="28"/>
          <w:szCs w:val="28"/>
          <w:lang w:val="pt-PT" w:eastAsia="en-GB"/>
        </w:rPr>
        <w:t>Contexto da Iniciativa</w:t>
      </w:r>
    </w:p>
    <w:p w14:paraId="26873C87" w14:textId="484A6BA8" w:rsidR="000300A7" w:rsidRPr="00043863" w:rsidRDefault="000300A7" w:rsidP="000300A7">
      <w:pPr>
        <w:spacing w:line="276" w:lineRule="auto"/>
        <w:ind w:left="284"/>
        <w:jc w:val="both"/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</w:pPr>
      <w:r w:rsidRPr="00043863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 xml:space="preserve">O 'Aproveitamento da tecnologia educacional como resposta </w:t>
      </w:r>
      <w:r w:rsidR="00A6369F" w:rsidRPr="00043863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>ao</w:t>
      </w:r>
      <w:r w:rsidRPr="00043863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 xml:space="preserve"> COVID-19' é um projecto CGE financiado pela União Europeia (UE) e pelo Ministério Federal Alemão de Cooperação e Desenvolvimento Económico (BMZ) por meio da Enabel e da Iniciativa GIZ-BACKUP. No âmbito desta acção, a GIZ, através da Iniciativa BACKUP, abriu um concurso para a promoção de soluções digitais para a educação básica para fortalecer e desenvolver as capacidades dos parceiros da educação. Em resposta ao apelo, a CGE concebeu um programa para apoiar a adopção de soluções digitais para melhorar a continuidade e a qualidade dos serviços de educação e fornecer evidências do seu potencial e limitações </w:t>
      </w:r>
      <w:r w:rsidR="009E4350" w:rsidRPr="00043863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>na</w:t>
      </w:r>
      <w:r w:rsidRPr="00043863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 xml:space="preserve"> África, dados os desafios contextuais enfrentados pelo sector da educação no continente.</w:t>
      </w:r>
    </w:p>
    <w:p w14:paraId="27E2F51E" w14:textId="7BE97F83" w:rsidR="00714C91" w:rsidRPr="00043863" w:rsidRDefault="000300A7" w:rsidP="000300A7">
      <w:pPr>
        <w:spacing w:line="276" w:lineRule="auto"/>
        <w:ind w:left="284"/>
        <w:jc w:val="both"/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</w:pPr>
      <w:r w:rsidRPr="000300A7">
        <w:rPr>
          <w:rFonts w:eastAsia="Calibri" w:cs="Calibri"/>
          <w:color w:val="323E4F" w:themeColor="text2" w:themeShade="BF"/>
          <w:sz w:val="20"/>
          <w:szCs w:val="20"/>
          <w:lang w:val="pt-PT" w:eastAsia="en-ZW"/>
        </w:rPr>
        <w:t>O programa CGE foi complementado por projectos de nível nacional, implementados por sete coalizões nacionais de educação no Burúndi, RDC, Madagáscar, Malawi, Namíbia, Ruanda e Zâmbia e um Sindicato de Professores na Namíbia. Neste projecto, a CGE apoiou os oito parceiros do projecto ao nível nacional a envolverem-se em pesquisa, monitoramento e planejamento com instituições governamentais: incluindo defesa baseada em evidências para tecnologia educacional (EdTech) e soluções digitais em ambientes de educação pública.</w:t>
      </w:r>
    </w:p>
    <w:p w14:paraId="48E247C1" w14:textId="2AF4486D" w:rsidR="00714C91" w:rsidRPr="00043863" w:rsidRDefault="00046814" w:rsidP="00046814">
      <w:pPr>
        <w:spacing w:before="200" w:line="276" w:lineRule="auto"/>
        <w:ind w:left="284"/>
        <w:jc w:val="both"/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</w:pPr>
      <w:r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Coalizão d</w:t>
      </w:r>
      <w:r w:rsidR="00FD0596"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a</w:t>
      </w:r>
      <w:r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 xml:space="preserve"> Educação para Todos na Ruanda (REFAC)</w:t>
      </w:r>
    </w:p>
    <w:p w14:paraId="2BE7985F" w14:textId="64065455" w:rsidR="00714C91" w:rsidRPr="00043863" w:rsidRDefault="00F21B12" w:rsidP="00F21B12">
      <w:pPr>
        <w:spacing w:line="276" w:lineRule="auto"/>
        <w:ind w:left="284"/>
        <w:jc w:val="both"/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</w:pPr>
      <w:r w:rsidRPr="00043863">
        <w:rPr>
          <w:rFonts w:asciiTheme="minorHAnsi" w:hAnsiTheme="minorHAnsi"/>
          <w:kern w:val="2"/>
          <w:sz w:val="20"/>
          <w:szCs w:val="20"/>
          <w:lang w:val="pt-PT"/>
          <w14:ligatures w14:val="standardContextual"/>
        </w:rPr>
        <w:t xml:space="preserve"> 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A Coalizão d</w:t>
      </w:r>
      <w:r w:rsidR="00127B60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a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Educação para Todos </w:t>
      </w:r>
      <w:r w:rsidR="002E4C4B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na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Ruanda (REFAC) é uma coalizão de 23 organizações locais da sociedade civil que trabalham para a promoção da educação básica de qualidade para todos em Ruanda. Foi criada em Novembro de 2013 e oficialmente reconhecida em Ruanda como uma Organização Não Governamental (ONG). A REFAC tem a missão de defender a educação gratuita, de qualidade e efectiva para todos, por meio da participação de organizações da sociedade civil. A defesa da educação da REFAC concentra-se principalmente na educação infantil, educação especial, alfabetização de adultos, educação de meninas e mulheres, bem como educação técnica e vocacional. A Coalizão é membro da Campanha Global pela Educação (CGE) e da </w:t>
      </w:r>
      <w:r w:rsidR="00C51F1D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Rede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Africana </w:t>
      </w:r>
      <w:r w:rsidR="003B5EDD"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>de</w:t>
      </w:r>
      <w:r w:rsidRPr="00043863">
        <w:rPr>
          <w:rFonts w:eastAsia="Calibri" w:cs="Calibri"/>
          <w:bCs/>
          <w:color w:val="323E4F" w:themeColor="text2" w:themeShade="BF"/>
          <w:sz w:val="20"/>
          <w:szCs w:val="20"/>
          <w:lang w:val="pt-PT" w:eastAsia="en-GB"/>
        </w:rPr>
        <w:t xml:space="preserve"> Educação para Todos (ANCEFA) e participa de vários fóruns de política regional e desempenha um papel crucial no envolvimento dos governos nos processos de política educacional ao nível nacional.</w:t>
      </w:r>
    </w:p>
    <w:p w14:paraId="6ECD4582" w14:textId="668A8DAE" w:rsidR="00714C91" w:rsidRPr="00043863" w:rsidRDefault="00714C91" w:rsidP="00901A6A">
      <w:pPr>
        <w:tabs>
          <w:tab w:val="left" w:pos="5309"/>
        </w:tabs>
        <w:spacing w:before="200" w:line="276" w:lineRule="auto"/>
        <w:ind w:left="284"/>
        <w:jc w:val="both"/>
        <w:rPr>
          <w:rFonts w:eastAsia="Calibri" w:cs="Calibri"/>
          <w:bCs/>
          <w:color w:val="323E4F" w:themeColor="text2" w:themeShade="BF"/>
          <w:lang w:val="pt-PT" w:eastAsia="en-GB"/>
        </w:rPr>
      </w:pPr>
      <w:r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Objectiv</w:t>
      </w:r>
      <w:r w:rsidR="00901A6A"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o</w:t>
      </w:r>
      <w:r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 xml:space="preserve">s </w:t>
      </w:r>
      <w:r w:rsidR="00901A6A"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e escopo do</w:t>
      </w:r>
      <w:r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 xml:space="preserve"> project</w:t>
      </w:r>
      <w:r w:rsidR="00901A6A"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>o</w:t>
      </w:r>
      <w:r w:rsidR="00901A6A" w:rsidRPr="00043863">
        <w:rPr>
          <w:rFonts w:eastAsia="Calibri" w:cs="Calibri"/>
          <w:b/>
          <w:bCs/>
          <w:color w:val="323E4F" w:themeColor="text2" w:themeShade="BF"/>
          <w:sz w:val="28"/>
          <w:szCs w:val="28"/>
          <w:lang w:val="pt-PT" w:eastAsia="en-GB"/>
        </w:rPr>
        <w:tab/>
      </w:r>
    </w:p>
    <w:p w14:paraId="2689FC28" w14:textId="1068A608" w:rsidR="004A2D9A" w:rsidRPr="00043863" w:rsidRDefault="004A2D9A" w:rsidP="004A2D9A">
      <w:pPr>
        <w:spacing w:line="276" w:lineRule="auto"/>
        <w:ind w:left="284"/>
        <w:jc w:val="both"/>
        <w:rPr>
          <w:rFonts w:eastAsia="Calibri" w:cs="Calibri"/>
          <w:color w:val="323E4F" w:themeColor="text2" w:themeShade="BF"/>
          <w:lang w:val="pt-PT" w:eastAsia="en-ZW"/>
        </w:rPr>
      </w:pPr>
      <w:bookmarkStart w:id="0" w:name="_Hlk138851525"/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Em consonância com o amplo escopo da iniciativa, a REFAC desenvolveu e implementou um projecto nacional intitulado “Sociedade civil activa para educação digital inclusiva em Ruanda”. O projecto visa promover a concepção de intervenções tecnológicas de baixo custo para facilitar a aprendizagem contínua no contexto da pandemia </w:t>
      </w:r>
      <w:r w:rsidR="00ED4D20" w:rsidRPr="00043863">
        <w:rPr>
          <w:rFonts w:eastAsia="Calibri" w:cs="Calibri"/>
          <w:color w:val="323E4F" w:themeColor="text2" w:themeShade="BF"/>
          <w:lang w:val="pt-PT" w:eastAsia="en-ZW"/>
        </w:rPr>
        <w:t>do</w:t>
      </w:r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 COVID-19 e aumentar a conscientização sobre o valor da aprendizagem online/TIC na prestação de serviços educacionais e no acesso a serviços educacionais digitais para alunos e /ou profissionais da educação. O projecto foi concebido e implementado pelas  Reuniões e campanhas de advocacia sobre o desenvolvimento de ferramentas de ensino on-line inclusivas acessíveis para todos os alunos (b) Formação de directores de escolas, comissões de pais de escolas e líderes locais de educação sobre políticas educativas de TIC em cinco distritos (c) Fornecer treinamentos sobre </w:t>
      </w:r>
      <w:r w:rsidR="004A2882" w:rsidRPr="00043863">
        <w:rPr>
          <w:rFonts w:eastAsia="Calibri" w:cs="Calibri"/>
          <w:color w:val="323E4F" w:themeColor="text2" w:themeShade="BF"/>
          <w:lang w:val="pt-PT" w:eastAsia="en-ZW"/>
        </w:rPr>
        <w:t>advocacia</w:t>
      </w:r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 de políticas e influenciar, bem como monitorar os resultados do e-learning no meio </w:t>
      </w:r>
      <w:r w:rsidR="000F2776" w:rsidRPr="00043863">
        <w:rPr>
          <w:rFonts w:eastAsia="Calibri" w:cs="Calibri"/>
          <w:color w:val="323E4F" w:themeColor="text2" w:themeShade="BF"/>
          <w:lang w:val="pt-PT" w:eastAsia="en-ZW"/>
        </w:rPr>
        <w:t>d</w:t>
      </w:r>
      <w:r w:rsidR="00FF54B1" w:rsidRPr="00043863">
        <w:rPr>
          <w:rFonts w:eastAsia="Calibri" w:cs="Calibri"/>
          <w:color w:val="323E4F" w:themeColor="text2" w:themeShade="BF"/>
          <w:lang w:val="pt-PT" w:eastAsia="en-ZW"/>
        </w:rPr>
        <w:t>o</w:t>
      </w:r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 COVID-19 em diferentes níveis (d) Estabelecer um centro virtual de informações (portal online) acessível a</w:t>
      </w:r>
      <w:r w:rsidR="000F2776" w:rsidRPr="00043863">
        <w:rPr>
          <w:rFonts w:eastAsia="Calibri" w:cs="Calibri"/>
          <w:color w:val="323E4F" w:themeColor="text2" w:themeShade="BF"/>
          <w:lang w:val="pt-PT" w:eastAsia="en-ZW"/>
        </w:rPr>
        <w:t>os</w:t>
      </w:r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 membros e partes interessadas e (e) </w:t>
      </w:r>
      <w:r w:rsidR="00A765D5">
        <w:rPr>
          <w:rFonts w:eastAsia="Calibri" w:cs="Calibri"/>
          <w:color w:val="323E4F" w:themeColor="text2" w:themeShade="BF"/>
          <w:lang w:val="pt-PT" w:eastAsia="en-ZW"/>
        </w:rPr>
        <w:t>Fazer trabalho de influência</w:t>
      </w:r>
      <w:r w:rsidRPr="00043863">
        <w:rPr>
          <w:rFonts w:eastAsia="Calibri" w:cs="Calibri"/>
          <w:color w:val="323E4F" w:themeColor="text2" w:themeShade="BF"/>
          <w:lang w:val="pt-PT" w:eastAsia="en-ZW"/>
        </w:rPr>
        <w:t xml:space="preserve"> para o estabelecimento uma plataforma nacional de e-learning (portal online) com base no currículo nacional de educação.</w:t>
      </w:r>
    </w:p>
    <w:bookmarkEnd w:id="0"/>
    <w:p w14:paraId="222E3222" w14:textId="6A879B53" w:rsidR="00414743" w:rsidRPr="00043863" w:rsidRDefault="00414743" w:rsidP="005F123C">
      <w:pPr>
        <w:spacing w:line="276" w:lineRule="auto"/>
        <w:jc w:val="both"/>
        <w:rPr>
          <w:rFonts w:eastAsia="Calibri" w:cs="Calibri"/>
          <w:color w:val="323E4F" w:themeColor="text2" w:themeShade="BF"/>
          <w:lang w:val="pt-PT" w:eastAsia="en-ZW"/>
        </w:rPr>
        <w:sectPr w:rsidR="00414743" w:rsidRPr="00043863" w:rsidSect="0056339A">
          <w:headerReference w:type="default" r:id="rId15"/>
          <w:footerReference w:type="default" r:id="rId16"/>
          <w:footerReference w:type="first" r:id="rId17"/>
          <w:pgSz w:w="11906" w:h="16838"/>
          <w:pgMar w:top="1440" w:right="1080" w:bottom="1440" w:left="1080" w:header="708" w:footer="737" w:gutter="0"/>
          <w:pgNumType w:start="36"/>
          <w:cols w:space="720"/>
          <w:docGrid w:linePitch="299"/>
        </w:sectPr>
      </w:pPr>
    </w:p>
    <w:p w14:paraId="113E593C" w14:textId="77777777" w:rsidR="00145079" w:rsidRPr="00043863" w:rsidRDefault="00145079" w:rsidP="005F123C">
      <w:pPr>
        <w:spacing w:before="240" w:line="276" w:lineRule="auto"/>
        <w:jc w:val="both"/>
        <w:rPr>
          <w:rFonts w:ascii="Calibri" w:eastAsia="Calibri" w:hAnsi="Calibri" w:cs="Calibri"/>
          <w:b/>
          <w:bCs/>
          <w:color w:val="7030A0"/>
          <w:sz w:val="48"/>
          <w:szCs w:val="48"/>
          <w:lang w:val="pt-PT" w:eastAsia="en-GB"/>
        </w:rPr>
      </w:pPr>
    </w:p>
    <w:p w14:paraId="01ACD53E" w14:textId="4F705A66" w:rsidR="00145079" w:rsidRPr="00043863" w:rsidRDefault="00714C91" w:rsidP="001D7611">
      <w:pPr>
        <w:spacing w:line="276" w:lineRule="auto"/>
        <w:jc w:val="both"/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</w:pPr>
      <w:r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Sucess</w:t>
      </w:r>
      <w:r w:rsidR="00D62174"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o</w:t>
      </w:r>
      <w:r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 xml:space="preserve">s </w:t>
      </w:r>
      <w:r w:rsidR="00D62174"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e</w:t>
      </w:r>
      <w:r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 xml:space="preserve"> result</w:t>
      </w:r>
      <w:r w:rsidR="00186EF1"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ado</w:t>
      </w:r>
      <w:r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 xml:space="preserve">s </w:t>
      </w:r>
      <w:r w:rsidR="00186EF1"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do</w:t>
      </w:r>
      <w:r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 xml:space="preserve"> project</w:t>
      </w:r>
      <w:r w:rsidR="00186EF1" w:rsidRPr="00043863">
        <w:rPr>
          <w:rFonts w:eastAsia="Calibri" w:cs="Calibri"/>
          <w:b/>
          <w:bCs/>
          <w:color w:val="323E4F" w:themeColor="text2" w:themeShade="BF"/>
          <w:sz w:val="48"/>
          <w:szCs w:val="48"/>
          <w:lang w:val="pt-PT" w:eastAsia="en-GB"/>
        </w:rPr>
        <w:t>o</w:t>
      </w:r>
    </w:p>
    <w:p w14:paraId="6914E130" w14:textId="2CF1C0CC" w:rsidR="001E05AC" w:rsidRPr="00043863" w:rsidRDefault="00975480" w:rsidP="00EE68EC">
      <w:pPr>
        <w:spacing w:before="240" w:line="276" w:lineRule="auto"/>
        <w:ind w:left="1134"/>
        <w:jc w:val="both"/>
        <w:rPr>
          <w:b/>
          <w:color w:val="323E4F" w:themeColor="text2" w:themeShade="BF"/>
          <w:sz w:val="28"/>
          <w:szCs w:val="28"/>
          <w:lang w:val="pt-PT" w:eastAsia="en-ZW"/>
        </w:rPr>
      </w:pPr>
      <w:r w:rsidRPr="00043863">
        <w:rPr>
          <w:rFonts w:ascii="Calibri" w:eastAsia="Calibri" w:hAnsi="Calibri" w:cs="Calibri"/>
          <w:b/>
          <w:noProof/>
          <w:color w:val="323E4F" w:themeColor="text2" w:themeShade="BF"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CD388" wp14:editId="01C647E9">
                <wp:simplePos x="0" y="0"/>
                <wp:positionH relativeFrom="column">
                  <wp:posOffset>109728</wp:posOffset>
                </wp:positionH>
                <wp:positionV relativeFrom="paragraph">
                  <wp:posOffset>76708</wp:posOffset>
                </wp:positionV>
                <wp:extent cx="420624" cy="6455664"/>
                <wp:effectExtent l="0" t="0" r="0" b="0"/>
                <wp:wrapNone/>
                <wp:docPr id="16329248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6455664"/>
                        </a:xfrm>
                        <a:prstGeom prst="rect">
                          <a:avLst/>
                        </a:prstGeom>
                        <a:solidFill>
                          <a:srgbClr val="6C308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BD33A" id="Rectangle 5" o:spid="_x0000_s1026" style="position:absolute;margin-left:8.65pt;margin-top:6.05pt;width:33.1pt;height:50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" fillcolor="#6c3089" stroked="f" strokeweight="1pt">
                <v:fill opacity="32896f"/>
              </v:rect>
            </w:pict>
          </mc:Fallback>
        </mc:AlternateContent>
      </w:r>
      <w:r w:rsidR="00EE68EC" w:rsidRPr="00043863">
        <w:rPr>
          <w:b/>
          <w:color w:val="323E4F" w:themeColor="text2" w:themeShade="BF"/>
          <w:sz w:val="28"/>
          <w:szCs w:val="28"/>
          <w:lang w:val="pt-PT" w:eastAsia="en-ZW"/>
        </w:rPr>
        <w:t>Resultados de curto prazo e impacto do projecto</w:t>
      </w:r>
    </w:p>
    <w:p w14:paraId="5803DB87" w14:textId="5338FAF4" w:rsidR="00A6648A" w:rsidRPr="00043863" w:rsidRDefault="00A6648A" w:rsidP="00975480">
      <w:pPr>
        <w:pStyle w:val="ListParagraph"/>
        <w:numPr>
          <w:ilvl w:val="0"/>
          <w:numId w:val="17"/>
        </w:numPr>
        <w:spacing w:after="0" w:line="276" w:lineRule="auto"/>
        <w:ind w:left="1134" w:firstLine="0"/>
        <w:jc w:val="both"/>
        <w:rPr>
          <w:color w:val="323E4F" w:themeColor="text2" w:themeShade="BF"/>
          <w:lang w:val="pt-PT" w:eastAsia="en-ZW"/>
        </w:rPr>
      </w:pPr>
      <w:r w:rsidRPr="00043863">
        <w:rPr>
          <w:b/>
          <w:color w:val="323E4F" w:themeColor="text2" w:themeShade="BF"/>
          <w:lang w:val="pt-PT" w:eastAsia="en-ZW"/>
        </w:rPr>
        <w:t>Melhoria das habilidades digitais dos alunos e/ou profissionais da educação</w:t>
      </w:r>
    </w:p>
    <w:p w14:paraId="055843C0" w14:textId="006CDD28" w:rsidR="00ED5358" w:rsidRPr="00043863" w:rsidRDefault="00ED5358" w:rsidP="00ED5358">
      <w:pPr>
        <w:pStyle w:val="ListParagraph"/>
        <w:spacing w:after="0" w:line="276" w:lineRule="auto"/>
        <w:ind w:left="113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043863">
        <w:rPr>
          <w:rFonts w:ascii="Constantia" w:hAnsi="Constantia"/>
          <w:color w:val="323E4F" w:themeColor="text2" w:themeShade="BF"/>
          <w:lang w:val="pt-PT" w:eastAsia="en-ZW"/>
        </w:rPr>
        <w:t>A medida influenciou com sucesso os esforços nacionais de e-learning ao equipar gerentes escolares, professores e alunos com habilidades digitais nas escolas-piloto localizadas em 5 distritos. Os membros da REFAC e suas partes interessadas também foram equipados com conhecimentos e habilidades digitais, melhores práticas e uma plataforma de e-learning inclusiva foi desenvolvida e utilizada por todos os membros e outras partes interessadas que operam no sector educacional. Os resumos de políticas e relatórios de avaliação, bem como outras referências documentos de referência sobre habilidades digitais foram compartilhados e carregados na plataforma de aprendizagem REFAC para uso de todas as partes interessadas.</w:t>
      </w:r>
    </w:p>
    <w:p w14:paraId="049BB4EE" w14:textId="77777777" w:rsidR="00446488" w:rsidRPr="00043863" w:rsidRDefault="00446488" w:rsidP="00ED5358">
      <w:pPr>
        <w:spacing w:after="0" w:line="276" w:lineRule="auto"/>
        <w:jc w:val="both"/>
        <w:rPr>
          <w:color w:val="323E4F" w:themeColor="text2" w:themeShade="BF"/>
          <w:lang w:val="pt-PT" w:eastAsia="en-ZW"/>
        </w:rPr>
      </w:pPr>
    </w:p>
    <w:p w14:paraId="54659E86" w14:textId="65AF71BB" w:rsidR="00D91473" w:rsidRPr="00043863" w:rsidRDefault="00D91473" w:rsidP="00975480">
      <w:pPr>
        <w:pStyle w:val="ListParagraph"/>
        <w:numPr>
          <w:ilvl w:val="0"/>
          <w:numId w:val="17"/>
        </w:numPr>
        <w:spacing w:after="0" w:line="276" w:lineRule="auto"/>
        <w:ind w:left="1134" w:firstLine="0"/>
        <w:jc w:val="both"/>
        <w:rPr>
          <w:color w:val="323E4F" w:themeColor="text2" w:themeShade="BF"/>
          <w:lang w:val="pt-PT" w:eastAsia="en-ZW"/>
        </w:rPr>
      </w:pPr>
      <w:r w:rsidRPr="00043863">
        <w:rPr>
          <w:b/>
          <w:color w:val="323E4F" w:themeColor="text2" w:themeShade="BF"/>
          <w:lang w:val="pt-PT" w:eastAsia="en-ZW"/>
        </w:rPr>
        <w:t xml:space="preserve">Aprendizagem e construção de redes ao nível nacional e/ou regional e/ou internacional na área de soluções digitais para educação e resiliência </w:t>
      </w:r>
      <w:r w:rsidR="00FF54B1" w:rsidRPr="00043863">
        <w:rPr>
          <w:b/>
          <w:color w:val="323E4F" w:themeColor="text2" w:themeShade="BF"/>
          <w:lang w:val="pt-PT" w:eastAsia="en-ZW"/>
        </w:rPr>
        <w:t>ao</w:t>
      </w:r>
      <w:r w:rsidRPr="00043863">
        <w:rPr>
          <w:b/>
          <w:color w:val="323E4F" w:themeColor="text2" w:themeShade="BF"/>
          <w:lang w:val="pt-PT" w:eastAsia="en-ZW"/>
        </w:rPr>
        <w:t xml:space="preserve"> COVID-19 em geral</w:t>
      </w:r>
    </w:p>
    <w:p w14:paraId="185810F9" w14:textId="18550660" w:rsidR="00EE4C93" w:rsidRPr="00043863" w:rsidRDefault="00EE4C93" w:rsidP="00EE4C93">
      <w:pPr>
        <w:pStyle w:val="ListParagraph"/>
        <w:spacing w:after="0" w:line="276" w:lineRule="auto"/>
        <w:ind w:left="113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043863">
        <w:rPr>
          <w:rFonts w:ascii="Constantia" w:hAnsi="Constantia"/>
          <w:color w:val="323E4F" w:themeColor="text2" w:themeShade="BF"/>
          <w:lang w:val="pt-PT" w:eastAsia="en-ZW"/>
        </w:rPr>
        <w:t xml:space="preserve">A equipe de coordenação da REFAC conseguiu participar de visitas de aprendizagem à Coalizão de Educação da Zâmbia e Burúndi Bafashebige-EPT conforme o plano de trabalho sobre aprendizagens compartilhadas em educação digital. A participação nas várias visitas de aprendizagem proporcionou oportunidades de aprendizagem, partilha de experiências e </w:t>
      </w:r>
      <w:r w:rsidR="00E77BA7">
        <w:rPr>
          <w:rFonts w:ascii="Constantia" w:hAnsi="Constantia"/>
          <w:color w:val="323E4F" w:themeColor="text2" w:themeShade="BF"/>
          <w:lang w:val="pt-PT" w:eastAsia="en-ZW"/>
        </w:rPr>
        <w:t>interacções</w:t>
      </w:r>
      <w:r w:rsidR="00E72A8C">
        <w:rPr>
          <w:rFonts w:ascii="Constantia" w:hAnsi="Constantia"/>
          <w:color w:val="323E4F" w:themeColor="text2" w:themeShade="BF"/>
          <w:lang w:val="pt-PT" w:eastAsia="en-ZW"/>
        </w:rPr>
        <w:t xml:space="preserve"> por rede</w:t>
      </w:r>
      <w:r w:rsidRPr="00043863">
        <w:rPr>
          <w:rFonts w:ascii="Constantia" w:hAnsi="Constantia"/>
          <w:color w:val="323E4F" w:themeColor="text2" w:themeShade="BF"/>
          <w:lang w:val="pt-PT" w:eastAsia="en-ZW"/>
        </w:rPr>
        <w:t>. As informações, conhecimentos e habilidades adquiridos informaram a entrega das ambições de aprendizagem e desenvolvimento organizacional dos membros da REFAC.</w:t>
      </w:r>
    </w:p>
    <w:p w14:paraId="677AE8BC" w14:textId="77777777" w:rsidR="00E65F34" w:rsidRPr="00043863" w:rsidRDefault="00E65F34" w:rsidP="00EE4C93">
      <w:pPr>
        <w:spacing w:after="0" w:line="276" w:lineRule="auto"/>
        <w:jc w:val="both"/>
        <w:rPr>
          <w:color w:val="323E4F" w:themeColor="text2" w:themeShade="BF"/>
          <w:lang w:val="pt-PT" w:eastAsia="en-ZW"/>
        </w:rPr>
      </w:pPr>
    </w:p>
    <w:p w14:paraId="089FB2E1" w14:textId="2E019CAD" w:rsidR="00C86B74" w:rsidRPr="00043863" w:rsidRDefault="00C86B74" w:rsidP="00975480">
      <w:pPr>
        <w:pStyle w:val="ListParagraph"/>
        <w:numPr>
          <w:ilvl w:val="0"/>
          <w:numId w:val="17"/>
        </w:numPr>
        <w:spacing w:after="0" w:line="276" w:lineRule="auto"/>
        <w:ind w:left="1134" w:firstLine="0"/>
        <w:jc w:val="both"/>
        <w:rPr>
          <w:color w:val="323E4F" w:themeColor="text2" w:themeShade="BF"/>
          <w:lang w:val="pt-PT" w:eastAsia="en-ZW"/>
        </w:rPr>
      </w:pPr>
      <w:r w:rsidRPr="00043863">
        <w:rPr>
          <w:b/>
          <w:color w:val="323E4F" w:themeColor="text2" w:themeShade="BF"/>
          <w:lang w:val="pt-PT" w:eastAsia="en-ZW"/>
        </w:rPr>
        <w:t>Colaboração com o sector privado (por exemplo, empresas de telecomunicações/TI)</w:t>
      </w:r>
    </w:p>
    <w:p w14:paraId="72CD77B5" w14:textId="2AADCD13" w:rsidR="002B313B" w:rsidRPr="00043863" w:rsidRDefault="002B313B" w:rsidP="002B313B">
      <w:pPr>
        <w:pStyle w:val="ListParagraph"/>
        <w:spacing w:after="0" w:line="276" w:lineRule="auto"/>
        <w:ind w:left="113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043863">
        <w:rPr>
          <w:rFonts w:ascii="Constantia" w:hAnsi="Constantia"/>
          <w:color w:val="323E4F" w:themeColor="text2" w:themeShade="BF"/>
          <w:lang w:val="pt-PT" w:eastAsia="en-ZW"/>
        </w:rPr>
        <w:t xml:space="preserve">Através desta medida, a REFAC conseguiu envolver os meios de comunicação de massa (sessões de rádio e TV comunitária) para promover soluções móveis de baixa tecnologia em resposta à crise de aprendizagem relacionada com </w:t>
      </w:r>
      <w:r w:rsidR="00FF54B1" w:rsidRPr="00043863">
        <w:rPr>
          <w:rFonts w:ascii="Constantia" w:hAnsi="Constantia"/>
          <w:color w:val="323E4F" w:themeColor="text2" w:themeShade="BF"/>
          <w:lang w:val="pt-PT" w:eastAsia="en-ZW"/>
        </w:rPr>
        <w:t>o</w:t>
      </w:r>
      <w:r w:rsidRPr="00043863">
        <w:rPr>
          <w:rFonts w:ascii="Constantia" w:hAnsi="Constantia"/>
          <w:color w:val="323E4F" w:themeColor="text2" w:themeShade="BF"/>
          <w:lang w:val="pt-PT" w:eastAsia="en-ZW"/>
        </w:rPr>
        <w:t xml:space="preserve"> COVID-19. As partes interessadas do projecto aproveitaram as ferramentas e a infra-estrutura existentes para liberar oportunidades de aprendizagem. Quando o governo optou por soluções móveis de baixa tecnologia para programas educacionais e soluções de aprendizagem para alcançar os alunos, a REFAC colaborou com estações de rádio e TV para ajudar os alunos a obter acesso a vários materiais de aprendizagem durante </w:t>
      </w:r>
      <w:r w:rsidR="00EC1C62" w:rsidRPr="00043863">
        <w:rPr>
          <w:rFonts w:ascii="Constantia" w:hAnsi="Constantia"/>
          <w:color w:val="323E4F" w:themeColor="text2" w:themeShade="BF"/>
          <w:lang w:val="pt-PT" w:eastAsia="en-ZW"/>
        </w:rPr>
        <w:t>o</w:t>
      </w:r>
      <w:r w:rsidRPr="00043863">
        <w:rPr>
          <w:rFonts w:ascii="Constantia" w:hAnsi="Constantia"/>
          <w:color w:val="323E4F" w:themeColor="text2" w:themeShade="BF"/>
          <w:lang w:val="pt-PT" w:eastAsia="en-ZW"/>
        </w:rPr>
        <w:t xml:space="preserve"> COVID-19.</w:t>
      </w:r>
    </w:p>
    <w:p w14:paraId="4F764C1F" w14:textId="1B33E9B8" w:rsidR="002B313B" w:rsidRPr="002B313B" w:rsidRDefault="002B313B" w:rsidP="002B313B">
      <w:pPr>
        <w:pStyle w:val="ListParagraph"/>
        <w:spacing w:after="0" w:line="276" w:lineRule="auto"/>
        <w:ind w:left="113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2B313B">
        <w:rPr>
          <w:rFonts w:ascii="Constantia" w:hAnsi="Constantia"/>
          <w:color w:val="323E4F" w:themeColor="text2" w:themeShade="BF"/>
          <w:lang w:val="pt-PT" w:eastAsia="en-ZW"/>
        </w:rPr>
        <w:t xml:space="preserve">Além </w:t>
      </w:r>
      <w:r w:rsidR="00D9288B" w:rsidRPr="00043863">
        <w:rPr>
          <w:rFonts w:ascii="Constantia" w:hAnsi="Constantia"/>
          <w:color w:val="323E4F" w:themeColor="text2" w:themeShade="BF"/>
          <w:lang w:val="pt-PT" w:eastAsia="en-ZW"/>
        </w:rPr>
        <w:t>disto</w:t>
      </w:r>
      <w:r w:rsidRPr="002B313B">
        <w:rPr>
          <w:rFonts w:ascii="Constantia" w:hAnsi="Constantia"/>
          <w:color w:val="323E4F" w:themeColor="text2" w:themeShade="BF"/>
          <w:lang w:val="pt-PT" w:eastAsia="en-ZW"/>
        </w:rPr>
        <w:t>, a REFAC firmou parcerias com a mídia para a concepção e veiculação do conteúdo educacional, implantação de soluções de e-books, acessíveis à maioria via telefone recurso, ao fornecer especialização no monitoramento e avaliação, orientação na implementação dos programas educacionais sustentáveis. A transmissão exigia fortes colaborações entre emissoras, autoridades educacionais e educadores.</w:t>
      </w:r>
    </w:p>
    <w:p w14:paraId="04E06FB4" w14:textId="0853145C" w:rsidR="00975480" w:rsidRPr="00043863" w:rsidRDefault="00975480" w:rsidP="002B313B">
      <w:pPr>
        <w:pStyle w:val="ListParagraph"/>
        <w:spacing w:after="0" w:line="276" w:lineRule="auto"/>
        <w:ind w:left="1134"/>
        <w:jc w:val="both"/>
        <w:rPr>
          <w:color w:val="323E4F" w:themeColor="text2" w:themeShade="BF"/>
          <w:lang w:val="pt-PT" w:eastAsia="en-ZW"/>
        </w:rPr>
      </w:pPr>
    </w:p>
    <w:p w14:paraId="137D012A" w14:textId="77777777" w:rsidR="00975480" w:rsidRPr="00043863" w:rsidRDefault="00975480" w:rsidP="002B3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Calibri" w:eastAsia="Calibri" w:hAnsi="Calibri" w:cs="Calibri"/>
          <w:color w:val="7030A0"/>
          <w:lang w:val="pt-PT" w:eastAsia="en-ZW"/>
        </w:rPr>
      </w:pPr>
    </w:p>
    <w:p w14:paraId="1AB4A9BC" w14:textId="64FFB5F3" w:rsidR="00145079" w:rsidRPr="00043863" w:rsidRDefault="00145079" w:rsidP="001450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7030A0"/>
          <w:lang w:val="pt-PT" w:eastAsia="en-ZW"/>
        </w:rPr>
      </w:pPr>
      <w:bookmarkStart w:id="1" w:name="_GoBack"/>
      <w:bookmarkEnd w:id="1"/>
    </w:p>
    <w:p w14:paraId="50EEE3E5" w14:textId="0B6BA061" w:rsidR="00A6296D" w:rsidRPr="00043863" w:rsidRDefault="00145079" w:rsidP="005201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rFonts w:asciiTheme="minorHAnsi" w:hAnsiTheme="minorHAnsi" w:cstheme="minorHAnsi"/>
          <w:color w:val="323E4F" w:themeColor="text2" w:themeShade="BF"/>
          <w:lang w:val="pt-PT" w:eastAsia="en-ZW"/>
        </w:rPr>
      </w:pPr>
      <w:r w:rsidRPr="00043863">
        <w:rPr>
          <w:rFonts w:asciiTheme="minorHAnsi" w:hAnsiTheme="minorHAnsi" w:cstheme="minorHAnsi"/>
          <w:noProof/>
          <w:color w:val="7030A0"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FB718" wp14:editId="0CE0A370">
                <wp:simplePos x="0" y="0"/>
                <wp:positionH relativeFrom="column">
                  <wp:posOffset>5549900</wp:posOffset>
                </wp:positionH>
                <wp:positionV relativeFrom="paragraph">
                  <wp:posOffset>8255</wp:posOffset>
                </wp:positionV>
                <wp:extent cx="502920" cy="7035800"/>
                <wp:effectExtent l="0" t="0" r="5080" b="0"/>
                <wp:wrapNone/>
                <wp:docPr id="2588119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7035800"/>
                        </a:xfrm>
                        <a:prstGeom prst="rect">
                          <a:avLst/>
                        </a:prstGeom>
                        <a:solidFill>
                          <a:srgbClr val="6C308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9B69B" id="Rectangle 5" o:spid="_x0000_s1026" style="position:absolute;margin-left:437pt;margin-top:.65pt;width:39.6pt;height:5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" fillcolor="#6c3089" stroked="f" strokeweight="1pt">
                <v:fill opacity="32896f"/>
              </v:rect>
            </w:pict>
          </mc:Fallback>
        </mc:AlternateContent>
      </w:r>
      <w:r w:rsidR="005201D2" w:rsidRPr="00043863">
        <w:rPr>
          <w:rFonts w:asciiTheme="minorHAnsi" w:hAnsiTheme="minorHAnsi" w:cstheme="minorHAnsi"/>
          <w:b/>
          <w:color w:val="323E4F" w:themeColor="text2" w:themeShade="BF"/>
          <w:lang w:val="pt-PT" w:eastAsia="en-ZW"/>
        </w:rPr>
        <w:t>4.</w:t>
      </w:r>
      <w:r w:rsidR="005201D2" w:rsidRPr="00043863">
        <w:rPr>
          <w:rFonts w:asciiTheme="minorHAnsi" w:hAnsiTheme="minorHAnsi" w:cstheme="minorHAnsi"/>
          <w:b/>
          <w:color w:val="323E4F" w:themeColor="text2" w:themeShade="BF"/>
          <w:lang w:val="pt-PT" w:eastAsia="en-ZW"/>
        </w:rPr>
        <w:tab/>
      </w:r>
      <w:r w:rsidR="00A6296D" w:rsidRPr="00043863">
        <w:rPr>
          <w:rFonts w:asciiTheme="minorHAnsi" w:hAnsiTheme="minorHAnsi" w:cstheme="minorHAnsi"/>
          <w:b/>
          <w:color w:val="323E4F" w:themeColor="text2" w:themeShade="BF"/>
          <w:lang w:val="pt-PT" w:eastAsia="en-ZW"/>
        </w:rPr>
        <w:t>Desenvolvimento organizacional e visibilidade</w:t>
      </w:r>
    </w:p>
    <w:p w14:paraId="16FA5278" w14:textId="07F03BA9" w:rsidR="005E090F" w:rsidRPr="00A131FE" w:rsidRDefault="005E090F" w:rsidP="005201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A131FE">
        <w:rPr>
          <w:rFonts w:ascii="Constantia" w:hAnsi="Constantia"/>
          <w:color w:val="323E4F" w:themeColor="text2" w:themeShade="BF"/>
          <w:lang w:val="pt-PT" w:eastAsia="en-ZW"/>
        </w:rPr>
        <w:t>A concepção e desenvolvimento da estratégia de influência política da REFAC permitiu que a Coalizão e seus membros envolvessem-se em diálog</w:t>
      </w:r>
      <w:r w:rsidR="00C05F41">
        <w:rPr>
          <w:rFonts w:ascii="Constantia" w:hAnsi="Constantia"/>
          <w:color w:val="323E4F" w:themeColor="text2" w:themeShade="BF"/>
          <w:lang w:val="pt-PT" w:eastAsia="en-ZW"/>
        </w:rPr>
        <w:t>o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>s</w:t>
      </w:r>
      <w:r w:rsidR="00534F95">
        <w:rPr>
          <w:rFonts w:ascii="Constantia" w:hAnsi="Constantia"/>
          <w:color w:val="323E4F" w:themeColor="text2" w:themeShade="BF"/>
          <w:lang w:val="pt-PT" w:eastAsia="en-ZW"/>
        </w:rPr>
        <w:t xml:space="preserve"> sobre 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 xml:space="preserve"> polític</w:t>
      </w:r>
      <w:r w:rsidR="00534F95">
        <w:rPr>
          <w:rFonts w:ascii="Constantia" w:hAnsi="Constantia"/>
          <w:color w:val="323E4F" w:themeColor="text2" w:themeShade="BF"/>
          <w:lang w:val="pt-PT" w:eastAsia="en-ZW"/>
        </w:rPr>
        <w:t>a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 xml:space="preserve">s e </w:t>
      </w:r>
      <w:r w:rsidR="00327B1E">
        <w:rPr>
          <w:rFonts w:ascii="Constantia" w:hAnsi="Constantia"/>
          <w:color w:val="323E4F" w:themeColor="text2" w:themeShade="BF"/>
          <w:lang w:val="pt-PT" w:eastAsia="en-ZW"/>
        </w:rPr>
        <w:t>formas de influências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 xml:space="preserve"> para </w:t>
      </w:r>
      <w:r w:rsidR="00584363">
        <w:rPr>
          <w:rFonts w:ascii="Constantia" w:hAnsi="Constantia"/>
          <w:color w:val="323E4F" w:themeColor="text2" w:themeShade="BF"/>
          <w:lang w:val="pt-PT" w:eastAsia="en-ZW"/>
        </w:rPr>
        <w:t>pression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 xml:space="preserve">ar políticas voltadas para métodos </w:t>
      </w:r>
      <w:r w:rsidR="008D224B">
        <w:rPr>
          <w:rFonts w:ascii="Constantia" w:hAnsi="Constantia"/>
          <w:color w:val="323E4F" w:themeColor="text2" w:themeShade="BF"/>
          <w:lang w:val="pt-PT" w:eastAsia="en-ZW"/>
        </w:rPr>
        <w:t>favor</w:t>
      </w:r>
      <w:r w:rsidRPr="00A131FE">
        <w:rPr>
          <w:rFonts w:ascii="Constantia" w:hAnsi="Constantia"/>
          <w:color w:val="323E4F" w:themeColor="text2" w:themeShade="BF"/>
          <w:lang w:val="pt-PT" w:eastAsia="en-ZW"/>
        </w:rPr>
        <w:t>áveis de e-learning. Com base no mapeamento das práticas actuais sobre os processos de envolvimento político e advocacia entre os membros da REFAC, a estratégia tem servido como um documento orientador para o futuro fortalecimento da capacidade e ferramenta de monitoramento para seu engajamento com as principais partes interessadas em educação em todos os níveis, agências estaduais, sociedade civil organizações e outros. O plano de monitoramento e avaliação desenvolvido na concepção desta medida tem sido uma ferramenta muito útil para acompanhar o progresso resultante da implementação de estratégias de influência política além do período do projecto.</w:t>
      </w:r>
    </w:p>
    <w:p w14:paraId="58851B24" w14:textId="335C1547" w:rsidR="009A7D65" w:rsidRPr="00A131FE" w:rsidRDefault="005E090F" w:rsidP="005201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5E090F">
        <w:rPr>
          <w:rFonts w:ascii="Constantia" w:hAnsi="Constantia"/>
          <w:color w:val="323E4F" w:themeColor="text2" w:themeShade="BF"/>
          <w:lang w:val="pt-PT" w:eastAsia="en-ZW"/>
        </w:rPr>
        <w:t>Além disso, as reuniões de advocacia e as mesas redondas organizadas durante o período do relatório com diversas partes interessadas na educação, incluindo instituições governamentais (ministérios, agências governamentais, autoridades distritais, etc.) formulação de recomendações relacionadas, como o desenvolvimento de ferramentas de ensino on-line inclusivas acessíveis para todos os alunos.</w:t>
      </w:r>
    </w:p>
    <w:p w14:paraId="10140671" w14:textId="77777777" w:rsidR="009A7D65" w:rsidRPr="00043863" w:rsidRDefault="009A7D65" w:rsidP="009A7D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color w:val="323E4F" w:themeColor="text2" w:themeShade="BF"/>
          <w:lang w:val="pt-PT" w:eastAsia="en-ZW"/>
        </w:rPr>
      </w:pPr>
    </w:p>
    <w:p w14:paraId="038E4B76" w14:textId="5D07BFAB" w:rsidR="00E31A11" w:rsidRPr="00043863" w:rsidRDefault="00F64871" w:rsidP="00F648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color w:val="323E4F" w:themeColor="text2" w:themeShade="BF"/>
          <w:lang w:val="pt-PT" w:eastAsia="en-ZW"/>
        </w:rPr>
      </w:pPr>
      <w:r w:rsidRPr="00043863">
        <w:rPr>
          <w:b/>
          <w:color w:val="323E4F" w:themeColor="text2" w:themeShade="BF"/>
          <w:lang w:val="pt-PT" w:eastAsia="en-ZW"/>
        </w:rPr>
        <w:t>5.</w:t>
      </w:r>
      <w:r w:rsidRPr="00043863">
        <w:rPr>
          <w:b/>
          <w:color w:val="323E4F" w:themeColor="text2" w:themeShade="BF"/>
          <w:lang w:val="pt-PT" w:eastAsia="en-ZW"/>
        </w:rPr>
        <w:tab/>
        <w:t>Igualdade de género no uso de soluções digitais no sector educacional como resposta ao COVID-19</w:t>
      </w:r>
    </w:p>
    <w:p w14:paraId="6E4081E1" w14:textId="306ADEA0" w:rsidR="00143366" w:rsidRPr="00043863" w:rsidRDefault="00143366" w:rsidP="0014336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043863">
        <w:rPr>
          <w:rFonts w:ascii="Constantia" w:hAnsi="Constantia"/>
          <w:color w:val="323E4F" w:themeColor="text2" w:themeShade="BF"/>
          <w:lang w:val="pt-PT" w:eastAsia="en-ZW"/>
        </w:rPr>
        <w:t>Esta intervenção permitiu à REFAC aumentar a consciência sobre o potencial de integrar as perspectivas de género nas estratégias, políticas, planos e orçamentos relacionados às TIC. Várias partes interessadas do projecto beneficiaram-se da capacitação no uso da análise de género, bem como do envolvimento activo das mulheres em todo o projecto, implementação e monitoramento de estratégias e políticas. Este projecto foi capaz de promover a revisão das TIC existentes nas políticas educacionais para a capacidade de resposta de género, bem como a aprendizagem digital inclusiva em Ruanda.</w:t>
      </w:r>
    </w:p>
    <w:p w14:paraId="3BC386DB" w14:textId="77777777" w:rsidR="00143366" w:rsidRPr="00143366" w:rsidRDefault="00143366" w:rsidP="0014336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rFonts w:ascii="Constantia" w:hAnsi="Constantia"/>
          <w:color w:val="323E4F" w:themeColor="text2" w:themeShade="BF"/>
          <w:lang w:val="pt-PT" w:eastAsia="en-ZW"/>
        </w:rPr>
      </w:pPr>
      <w:r w:rsidRPr="00143366">
        <w:rPr>
          <w:rFonts w:ascii="Constantia" w:hAnsi="Constantia"/>
          <w:color w:val="323E4F" w:themeColor="text2" w:themeShade="BF"/>
          <w:lang w:val="pt-PT" w:eastAsia="en-ZW"/>
        </w:rPr>
        <w:t>Além disso, a REFAC conseguiu conscientizar a comunidade e as escolas sobre as ameaças decorrentes das TICs e abordar as desigualdades que impedem meninas e mulheres de participar plenamente e  beneficiar-se da sociedade da informação. Juntas, as Organizações da Sociedade Civil embarcaram na jornada para desafiar os estereótipos nas TIC, combater a representação negativa das mulheres online e comprometeram-se a fornecer caminhos digitais para as realidades e perspectivas das mulheres e combater as barreiras baseadas em género offline, como acesso a recursos e educação.</w:t>
      </w:r>
    </w:p>
    <w:p w14:paraId="2E8F2DC3" w14:textId="57194B9C" w:rsidR="000A72F7" w:rsidRPr="00043863" w:rsidRDefault="000A72F7" w:rsidP="009D0B7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color w:val="323E4F" w:themeColor="text2" w:themeShade="BF"/>
          <w:lang w:val="pt-PT" w:eastAsia="en-ZW"/>
        </w:rPr>
      </w:pPr>
    </w:p>
    <w:p w14:paraId="21486CCE" w14:textId="77777777" w:rsidR="00145079" w:rsidRPr="00043863" w:rsidRDefault="00145079" w:rsidP="001450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524"/>
        <w:jc w:val="both"/>
        <w:rPr>
          <w:color w:val="323E4F" w:themeColor="text2" w:themeShade="BF"/>
          <w:lang w:val="pt-PT" w:eastAsia="en-ZW"/>
        </w:rPr>
      </w:pPr>
    </w:p>
    <w:p w14:paraId="5DA58A4C" w14:textId="720AED17" w:rsidR="001E05AC" w:rsidRPr="00043863" w:rsidRDefault="001E05AC" w:rsidP="00133A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b/>
          <w:color w:val="7030A0"/>
          <w:sz w:val="28"/>
          <w:szCs w:val="28"/>
          <w:lang w:val="pt-PT" w:eastAsia="en-ZW"/>
        </w:rPr>
      </w:pPr>
    </w:p>
    <w:p w14:paraId="6D747D14" w14:textId="42A7DD6F" w:rsidR="001E05AC" w:rsidRPr="00043863" w:rsidRDefault="001E05AC" w:rsidP="00133A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b/>
          <w:color w:val="7030A0"/>
          <w:sz w:val="28"/>
          <w:szCs w:val="28"/>
          <w:lang w:val="pt-PT" w:eastAsia="en-ZW"/>
        </w:rPr>
        <w:sectPr w:rsidR="001E05AC" w:rsidRPr="00043863" w:rsidSect="0056339A">
          <w:pgSz w:w="11906" w:h="16838"/>
          <w:pgMar w:top="1440" w:right="1080" w:bottom="1440" w:left="1080" w:header="708" w:footer="737" w:gutter="0"/>
          <w:pgNumType w:start="36"/>
          <w:cols w:space="720"/>
          <w:docGrid w:linePitch="299"/>
        </w:sectPr>
      </w:pPr>
    </w:p>
    <w:p w14:paraId="34B84007" w14:textId="77777777" w:rsidR="001D7611" w:rsidRPr="00043863" w:rsidRDefault="001D7611" w:rsidP="00F10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  <w:color w:val="323E4F" w:themeColor="text2" w:themeShade="BF"/>
          <w:sz w:val="28"/>
          <w:szCs w:val="28"/>
          <w:lang w:val="pt-PT" w:eastAsia="en-ZW"/>
        </w:rPr>
      </w:pPr>
    </w:p>
    <w:p w14:paraId="0E4C2BE4" w14:textId="6390D095" w:rsidR="00366C73" w:rsidRPr="00043863" w:rsidRDefault="00523FDC" w:rsidP="00F10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323E4F" w:themeColor="text2" w:themeShade="BF"/>
          <w:lang w:val="pt-PT" w:eastAsia="en-ZW"/>
        </w:rPr>
      </w:pPr>
      <w:r w:rsidRPr="00043863">
        <w:rPr>
          <w:b/>
          <w:color w:val="323E4F" w:themeColor="text2" w:themeShade="BF"/>
          <w:sz w:val="28"/>
          <w:szCs w:val="28"/>
          <w:lang w:val="pt-PT" w:eastAsia="en-ZW"/>
        </w:rPr>
        <w:t>Resultados a longo Prazo e impacto do projecto</w:t>
      </w:r>
    </w:p>
    <w:tbl>
      <w:tblPr>
        <w:tblStyle w:val="GridTable1Light-Accent61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1D05AB" w:rsidRPr="00043863" w14:paraId="0182A7F4" w14:textId="77777777" w:rsidTr="001D0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E2EFD9" w:themeFill="accent6" w:themeFillTint="33"/>
          </w:tcPr>
          <w:p w14:paraId="67213F34" w14:textId="2B29A771" w:rsidR="001D05AB" w:rsidRPr="00043863" w:rsidRDefault="00A07C1C" w:rsidP="00F1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b w:val="0"/>
                <w:bCs w:val="0"/>
                <w:i/>
                <w:iCs/>
                <w:color w:val="323E4F" w:themeColor="text2" w:themeShade="BF"/>
                <w:lang w:val="pt-PT" w:eastAsia="en-ZW"/>
              </w:rPr>
            </w:pPr>
            <w:r w:rsidRPr="00043863">
              <w:rPr>
                <w:i/>
                <w:iCs/>
                <w:color w:val="323E4F" w:themeColor="text2" w:themeShade="BF"/>
                <w:lang w:val="pt-PT" w:eastAsia="en-ZW"/>
              </w:rPr>
              <w:t>Colaboração e envolvimento reforçados</w:t>
            </w:r>
            <w:r w:rsidR="0041298D" w:rsidRPr="00043863">
              <w:rPr>
                <w:i/>
                <w:iCs/>
                <w:color w:val="323E4F" w:themeColor="text2" w:themeShade="BF"/>
                <w:lang w:val="pt-PT" w:eastAsia="en-ZW"/>
              </w:rPr>
              <w:t xml:space="preserve"> do Ministério da Educação</w:t>
            </w:r>
            <w:r w:rsidR="001D05AB" w:rsidRPr="00043863">
              <w:rPr>
                <w:i/>
                <w:iCs/>
                <w:color w:val="323E4F" w:themeColor="text2" w:themeShade="BF"/>
                <w:lang w:val="pt-PT" w:eastAsia="en-ZW"/>
              </w:rPr>
              <w:t xml:space="preserve"> </w:t>
            </w:r>
          </w:p>
        </w:tc>
      </w:tr>
      <w:tr w:rsidR="00313FB5" w:rsidRPr="00043863" w14:paraId="284A5F51" w14:textId="77777777" w:rsidTr="00313FB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7D13DC2" w14:textId="46E2E859" w:rsidR="00047BFE" w:rsidRPr="00043863" w:rsidRDefault="00242B19" w:rsidP="00133A4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rFonts w:ascii="Constantia" w:hAnsi="Constantia"/>
                <w:color w:val="323E4F" w:themeColor="text2" w:themeShade="BF"/>
                <w:sz w:val="21"/>
                <w:szCs w:val="21"/>
                <w:lang w:val="pt-PT" w:eastAsia="en-ZW"/>
              </w:rPr>
              <w:t>Acesso a serviços de educação digital para alunos e/ou profissionais da educação</w:t>
            </w:r>
          </w:p>
          <w:p w14:paraId="65381074" w14:textId="0E230DBB" w:rsidR="00F56D35" w:rsidRPr="00043863" w:rsidRDefault="00F56D35" w:rsidP="00F56D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360"/>
              <w:jc w:val="both"/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  <w:t>Antes do início do projecto, várias reuniões foram organizadas para obter a adesão dos formuladores de políticas e agências governamentais e garantir que eles tenham um entendimento comum sobre o roteiro do projecto e a identificação dos beneficiários. O monitoramento conjunto das actividades do projecto foi organizado e realizado colectivamente. Vale ressaltar que, a partir das reuniões de advocacia, grande parte dos formuladores e executores das políticas educacionais foram engajados, e a medida criou relacionamentos duradouros que permanecerão após a conclusão do projecto.</w:t>
            </w:r>
          </w:p>
          <w:p w14:paraId="5B719D3F" w14:textId="77777777" w:rsidR="00F56D35" w:rsidRPr="00043863" w:rsidRDefault="00F56D35" w:rsidP="00F56D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360"/>
              <w:jc w:val="both"/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</w:pPr>
          </w:p>
          <w:p w14:paraId="24DBDA0B" w14:textId="05973D8F" w:rsidR="00366C73" w:rsidRPr="00043863" w:rsidRDefault="00F56D35" w:rsidP="00CF56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360"/>
              <w:jc w:val="both"/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</w:pPr>
            <w:r w:rsidRPr="00F56D35"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  <w:t>Este projecto permitiu que a REFAC influenciasse o governo, especialmente o Ministério da Educação e instituições afiliadas, para equipar os profissionais da educação com as habilidades tecnológicas necessárias e fornecer aos alunos acesso fácil e acessível à Internet e hardware para aprimorar essas plataformas de e-learning. O Ministério da Educação e outras partes interessadas na educação tornaram-se mais conscientes dos efeitos d</w:t>
            </w:r>
            <w:r w:rsidR="00EC1C62" w:rsidRPr="00043863"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  <w:t>o</w:t>
            </w:r>
            <w:r w:rsidRPr="00F56D35"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  <w:t xml:space="preserve"> COVID-19 na educação e  comprometeram-se a fortalecer as estratégias existentes, de acordo. O Ministério também comprometeu-se com a adopção de melhores métodos amigáveis de e-learning durante e após a pandemia e comprometeu-se a aproveitar a capacidade dos professores em TIC como solução para promover a EdTech no sector educacional.</w:t>
            </w:r>
          </w:p>
          <w:p w14:paraId="21489EF5" w14:textId="47FCF4F3" w:rsidR="00366C73" w:rsidRPr="00043863" w:rsidRDefault="008148FB" w:rsidP="00133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ind w:left="360"/>
              <w:jc w:val="both"/>
              <w:rPr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b w:val="0"/>
                <w:i/>
                <w:color w:val="323E4F" w:themeColor="text2" w:themeShade="BF"/>
                <w:lang w:val="pt-PT" w:eastAsia="en-ZW"/>
              </w:rPr>
              <w:t>Como resultado das intervenções do projecto, o Ministério da Educação está agora consciente da necessidade e comprometeu-se a</w:t>
            </w:r>
            <w:r w:rsidR="00366C73" w:rsidRPr="00043863">
              <w:rPr>
                <w:b w:val="0"/>
                <w:i/>
                <w:color w:val="323E4F" w:themeColor="text2" w:themeShade="BF"/>
                <w:sz w:val="21"/>
                <w:szCs w:val="21"/>
                <w:lang w:val="pt-PT" w:eastAsia="en-ZW"/>
              </w:rPr>
              <w:t>:</w:t>
            </w:r>
          </w:p>
          <w:p w14:paraId="7A06D100" w14:textId="57E8DD79" w:rsidR="00366C73" w:rsidRPr="00043863" w:rsidRDefault="002263EB" w:rsidP="00133A4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0"/>
                <w:szCs w:val="20"/>
                <w:lang w:val="pt-PT" w:eastAsia="en-ZW"/>
              </w:rPr>
              <w:t>Assegurar ampla consulta no desenvolvimento de políticas e directrizes sobre o uso das TIC na educação e ampla divulgação das políticas adoptadas.</w:t>
            </w:r>
          </w:p>
          <w:p w14:paraId="5301BA9D" w14:textId="77777777" w:rsidR="00A52D90" w:rsidRPr="00043863" w:rsidRDefault="00A52D90" w:rsidP="00133A4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jc w:val="both"/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  <w:t>Desenvolver directrizes sobre o uso de plataformas de e-learning.</w:t>
            </w:r>
          </w:p>
          <w:p w14:paraId="23CAF1C2" w14:textId="27E3D098" w:rsidR="00366C73" w:rsidRPr="00043863" w:rsidRDefault="00066D21" w:rsidP="00133A4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jc w:val="both"/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  <w:t>Acompanhar e fiscalizar rigorosamente a utilização das TIC e garantir a sua institucionalização nas escolas.</w:t>
            </w:r>
            <w:r w:rsidR="00366C73" w:rsidRPr="00043863"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  <w:t xml:space="preserve"> </w:t>
            </w:r>
          </w:p>
          <w:p w14:paraId="0AC597BE" w14:textId="7623CB97" w:rsidR="00F15C79" w:rsidRPr="00043863" w:rsidRDefault="00CD37E9" w:rsidP="00F15C7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jc w:val="both"/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  <w:t>Apoiar escolas, professores e alunos no acesso a equipamentos/dispositivos digitais e garantir o uso inclusivo das TIC na educação.</w:t>
            </w:r>
          </w:p>
          <w:p w14:paraId="29F22F29" w14:textId="77777777" w:rsidR="005720BE" w:rsidRPr="00043863" w:rsidRDefault="005720BE" w:rsidP="005720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ind w:left="1080"/>
              <w:jc w:val="both"/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</w:p>
          <w:p w14:paraId="43CCF11B" w14:textId="1E7F743A" w:rsidR="00133A4F" w:rsidRPr="00043863" w:rsidRDefault="007C23C3" w:rsidP="00F15C7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276" w:lineRule="auto"/>
              <w:jc w:val="both"/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</w:pPr>
            <w:r w:rsidRPr="00043863">
              <w:rPr>
                <w:rFonts w:ascii="Constantia" w:hAnsi="Constantia"/>
                <w:b w:val="0"/>
                <w:color w:val="323E4F" w:themeColor="text2" w:themeShade="BF"/>
                <w:sz w:val="21"/>
                <w:szCs w:val="21"/>
                <w:lang w:val="pt-PT" w:eastAsia="en-ZW"/>
              </w:rPr>
              <w:t>Mais ainda, a REFAC conseguiu estabelecer e cultivar um bom relacionamento com o governo como a instituição responsável por garantir a apropriação, a implementação bem-sucedida e a sustentabilidade dos resultados. A este respeito, a REFAC certificou-se de visar e envolver o Ministério da Educação, o Conselho de Educação do Ruanda e os Oficiais Distritais de Educação. Este último desempenhou um papel significativo na implementação das recomendações do projecto.</w:t>
            </w:r>
          </w:p>
        </w:tc>
      </w:tr>
    </w:tbl>
    <w:p w14:paraId="1C09C8AF" w14:textId="3FA18A8D" w:rsidR="005F4F47" w:rsidRPr="00043863" w:rsidRDefault="005F4F47" w:rsidP="005F4F47">
      <w:pPr>
        <w:spacing w:before="240" w:after="0" w:line="276" w:lineRule="auto"/>
        <w:jc w:val="both"/>
        <w:rPr>
          <w:color w:val="323E4F" w:themeColor="text2" w:themeShade="BF"/>
          <w:lang w:val="pt-PT" w:eastAsia="en-ZW"/>
        </w:rPr>
      </w:pPr>
      <w:r w:rsidRPr="00043863">
        <w:rPr>
          <w:lang w:val="pt-PT"/>
        </w:rPr>
        <w:t xml:space="preserve">Apesar dos sucessos alcançados no aproveitamento da tecnologia educacional </w:t>
      </w:r>
      <w:r w:rsidR="008735C4" w:rsidRPr="00043863">
        <w:rPr>
          <w:lang w:val="pt-PT"/>
        </w:rPr>
        <w:t>na</w:t>
      </w:r>
      <w:r w:rsidRPr="00043863">
        <w:rPr>
          <w:lang w:val="pt-PT"/>
        </w:rPr>
        <w:t xml:space="preserve"> Ruanda, a coalizão observou limitações relacionadas à falta ou conhecimento limitado sobre políticas de e-learning e estruturas regulatórias, falta de infra-estrutura tecnológica de TIC para traduzir a política em prática, conectividade limitada à Internet em instalações educacionais e escolas (rural vs urbano); e conhecimentos e habilidades limitados para usar TIC, incluindo EdTech, no ensino e disponibilidade limitada de dispositivos digitais. Poucos professores relataram experiência anterior relevante de envolvimento em actividades de ensino e aprendizagem remotamente: cerca de 18% dos professores e 41% dos directores relataram experiência online de aprendizagem, ensino ou gestão escolar online antes da pandemia.</w:t>
      </w:r>
    </w:p>
    <w:p w14:paraId="072C06FA" w14:textId="77777777" w:rsidR="001D05AB" w:rsidRPr="00043863" w:rsidRDefault="001D05AB" w:rsidP="00F10B51">
      <w:pPr>
        <w:spacing w:before="240" w:after="0" w:line="276" w:lineRule="auto"/>
        <w:jc w:val="both"/>
        <w:rPr>
          <w:rFonts w:ascii="Calibri" w:eastAsia="Calibri" w:hAnsi="Calibri" w:cs="Calibri"/>
          <w:b/>
          <w:color w:val="323E4F" w:themeColor="text2" w:themeShade="BF"/>
          <w:sz w:val="28"/>
          <w:szCs w:val="28"/>
          <w:lang w:val="pt-PT" w:eastAsia="en-ZW"/>
        </w:rPr>
        <w:sectPr w:rsidR="001D05AB" w:rsidRPr="00043863" w:rsidSect="0056339A">
          <w:pgSz w:w="11906" w:h="16838"/>
          <w:pgMar w:top="1440" w:right="1080" w:bottom="1440" w:left="1080" w:header="708" w:footer="737" w:gutter="0"/>
          <w:pgNumType w:start="36"/>
          <w:cols w:space="720"/>
          <w:docGrid w:linePitch="299"/>
        </w:sectPr>
      </w:pPr>
    </w:p>
    <w:p w14:paraId="2ED46CC9" w14:textId="77777777" w:rsidR="006457E7" w:rsidRDefault="006457E7" w:rsidP="001D7611">
      <w:pPr>
        <w:spacing w:line="276" w:lineRule="auto"/>
        <w:jc w:val="both"/>
        <w:rPr>
          <w:rFonts w:eastAsia="Calibri" w:cs="Calibri"/>
          <w:b/>
          <w:color w:val="323E4F" w:themeColor="text2" w:themeShade="BF"/>
          <w:sz w:val="28"/>
          <w:szCs w:val="28"/>
          <w:lang w:val="pt-PT" w:eastAsia="en-ZW"/>
        </w:rPr>
      </w:pPr>
    </w:p>
    <w:p w14:paraId="30F36317" w14:textId="0E09F3A3" w:rsidR="001D05AB" w:rsidRPr="00043863" w:rsidRDefault="001A55E8" w:rsidP="001D7611">
      <w:pPr>
        <w:spacing w:line="276" w:lineRule="auto"/>
        <w:jc w:val="both"/>
        <w:rPr>
          <w:rFonts w:eastAsia="Calibri" w:cs="Calibri"/>
          <w:b/>
          <w:color w:val="323E4F" w:themeColor="text2" w:themeShade="BF"/>
          <w:sz w:val="28"/>
          <w:szCs w:val="28"/>
          <w:lang w:val="pt-PT" w:eastAsia="en-ZW"/>
        </w:rPr>
      </w:pPr>
      <w:r w:rsidRPr="00043863">
        <w:rPr>
          <w:rFonts w:eastAsia="Calibri" w:cs="Calibri"/>
          <w:b/>
          <w:color w:val="323E4F" w:themeColor="text2" w:themeShade="BF"/>
          <w:sz w:val="28"/>
          <w:szCs w:val="28"/>
          <w:lang w:val="pt-PT" w:eastAsia="en-ZW"/>
        </w:rPr>
        <w:t>Lições aprendidas e recomendações do projecto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70AD47" w:themeColor="accent6"/>
          <w:insideV w:val="single" w:sz="2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36"/>
      </w:tblGrid>
      <w:tr w:rsidR="00313FB5" w:rsidRPr="00043863" w14:paraId="3FB1884A" w14:textId="77777777" w:rsidTr="001D05AB">
        <w:tc>
          <w:tcPr>
            <w:tcW w:w="9736" w:type="dxa"/>
            <w:shd w:val="clear" w:color="auto" w:fill="E2EFD9" w:themeFill="accent6" w:themeFillTint="33"/>
          </w:tcPr>
          <w:p w14:paraId="03F095DA" w14:textId="15917E89" w:rsidR="00313FB5" w:rsidRPr="00043863" w:rsidRDefault="001A55E8" w:rsidP="003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color w:val="323E4F" w:themeColor="text2" w:themeShade="BF"/>
                <w:sz w:val="28"/>
                <w:szCs w:val="28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b/>
                <w:color w:val="323E4F" w:themeColor="text2" w:themeShade="BF"/>
                <w:sz w:val="28"/>
                <w:szCs w:val="28"/>
                <w:lang w:val="pt-PT" w:eastAsia="en-ZW"/>
              </w:rPr>
              <w:t>Lições aprendidas e recomendações do projecto</w:t>
            </w:r>
          </w:p>
        </w:tc>
      </w:tr>
      <w:tr w:rsidR="00313FB5" w:rsidRPr="00043863" w14:paraId="4B561DA4" w14:textId="77777777" w:rsidTr="001D05AB">
        <w:tc>
          <w:tcPr>
            <w:tcW w:w="9736" w:type="dxa"/>
            <w:shd w:val="clear" w:color="auto" w:fill="E2EFD9" w:themeFill="accent6" w:themeFillTint="33"/>
          </w:tcPr>
          <w:p w14:paraId="68BB6654" w14:textId="46E706EA" w:rsidR="00313FB5" w:rsidRPr="00043863" w:rsidRDefault="00083A03" w:rsidP="00313F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O projecto teve um forte componente de género no fornecimento de habilidades digitais e participação no engajamento político, o que garantiu que tanto os participantes masculinos quanto femininos estivessem representados em treinamentos e reuniões.</w:t>
            </w:r>
          </w:p>
          <w:p w14:paraId="785198E0" w14:textId="165912F5" w:rsidR="00313FB5" w:rsidRPr="00043863" w:rsidRDefault="00E30D7B" w:rsidP="00313F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Através de reuniões de advocacia, impressão e distribuição de informações, materiais de comunicação educacional, cobertura da mídia e conferências de imprensa, experiências de televisão e rádio e lições aprendidas foram compartilhadas com formuladores de políticas, beneficiários directos e público.</w:t>
            </w:r>
          </w:p>
          <w:p w14:paraId="6D62CCF2" w14:textId="685DD494" w:rsidR="00313FB5" w:rsidRPr="00043863" w:rsidRDefault="00DB4BC9" w:rsidP="00313F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A REFAC adoptou uma abordagem escalonada no desenvolvimento de um bom relacionamento de trabalho com o Governo. Envolvê-los desde o início foi estratégico e pragmático para garantir que o Ministério da Educação e seus departamentos irmãos entendessem o uso da EdTech, iniciassem discussões entre si e, finalmente, colocassem em prática as recomendações de projecto da REFAC.</w:t>
            </w:r>
          </w:p>
          <w:p w14:paraId="5F23F4C5" w14:textId="4F0268CB" w:rsidR="00183F71" w:rsidRPr="00043863" w:rsidRDefault="00183F71" w:rsidP="00183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Por meio dos esforços de fortalecimento da capacidade do projecto e grupos de aprendizagem compartilhada e comunidades de prática, os membros do REFAC e suas partes interessadas adquiriram conhecimentos e habilidades necessárias para envolver-se com os processos nacionais e a produção de defesa baseada em evidências. Indirectamente, contribuiu para a apropriação das intervenções da medida por todos os envolvidos e criou sinergias e vínculos com actores similares, que permanecerão activos após a conclusão do projecto e contribuirão para a sustentabilidade e escala das iniciativas do projecto.</w:t>
            </w:r>
          </w:p>
          <w:p w14:paraId="4608EE41" w14:textId="5CD26575" w:rsidR="00081932" w:rsidRPr="00043863" w:rsidRDefault="00081932" w:rsidP="000819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É necessário equipar os treinadores com as habilidades tecnológicas necessárias, disponibilizar aos alunos acesso fácil e acessível à Internet e hardware de TIC para aprimorar as plataformas de e-learning e também ter um procedimento de avaliação uniforme e informativo para os alunos, que podem seguir o e -plataformas de aprendizagem.</w:t>
            </w:r>
          </w:p>
          <w:p w14:paraId="0BDD7ECC" w14:textId="5FA8FBC5" w:rsidR="001D05AB" w:rsidRPr="00043863" w:rsidRDefault="001D05AB" w:rsidP="0008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</w:p>
        </w:tc>
      </w:tr>
      <w:tr w:rsidR="001D05AB" w:rsidRPr="00043863" w14:paraId="2C4D73B9" w14:textId="77777777" w:rsidTr="001D05AB">
        <w:tc>
          <w:tcPr>
            <w:tcW w:w="9736" w:type="dxa"/>
            <w:shd w:val="clear" w:color="auto" w:fill="E2EFD9" w:themeFill="accent6" w:themeFillTint="33"/>
          </w:tcPr>
          <w:p w14:paraId="5CC27D4A" w14:textId="3539AB23" w:rsidR="001D05AB" w:rsidRPr="00043863" w:rsidRDefault="00081932" w:rsidP="001D0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323E4F" w:themeColor="text2" w:themeShade="BF"/>
                <w:sz w:val="28"/>
                <w:szCs w:val="28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b/>
                <w:color w:val="323E4F" w:themeColor="text2" w:themeShade="BF"/>
                <w:sz w:val="28"/>
                <w:szCs w:val="28"/>
                <w:lang w:val="pt-PT" w:eastAsia="en-ZW"/>
              </w:rPr>
              <w:t>Próximos passos</w:t>
            </w:r>
          </w:p>
        </w:tc>
      </w:tr>
      <w:tr w:rsidR="001D05AB" w:rsidRPr="00043863" w14:paraId="56737AB4" w14:textId="77777777" w:rsidTr="001D05AB">
        <w:tc>
          <w:tcPr>
            <w:tcW w:w="9736" w:type="dxa"/>
            <w:shd w:val="clear" w:color="auto" w:fill="E2EFD9" w:themeFill="accent6" w:themeFillTint="33"/>
          </w:tcPr>
          <w:p w14:paraId="6C3CE7ED" w14:textId="5019C40A" w:rsidR="001D05AB" w:rsidRPr="00043863" w:rsidRDefault="00025EFF" w:rsidP="001D0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Para garantir que o projecto seja sustentável e continue no futuro previsível, a REFAC irá:</w:t>
            </w:r>
          </w:p>
          <w:p w14:paraId="779A55BF" w14:textId="5E173985" w:rsidR="001D05AB" w:rsidRPr="00043863" w:rsidRDefault="00B41A0F" w:rsidP="001D05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Adicionar eventos de aprendizagem como uma agenda permanente nas reuniões dos membros e assembleias gerais da coalizão para manter o ritmo e actualizar reciprocamente sobre as realizações do projecto.</w:t>
            </w:r>
          </w:p>
          <w:p w14:paraId="4B8207D6" w14:textId="0458D5F5" w:rsidR="001D05AB" w:rsidRPr="00043863" w:rsidRDefault="00271DFA" w:rsidP="00271D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</w:pPr>
            <w:r w:rsidRPr="00043863">
              <w:rPr>
                <w:rFonts w:ascii="Calibri" w:eastAsia="Calibri" w:hAnsi="Calibri" w:cs="Calibri"/>
                <w:color w:val="323E4F" w:themeColor="text2" w:themeShade="BF"/>
                <w:lang w:val="pt-PT" w:eastAsia="en-ZW"/>
              </w:rPr>
              <w:t>A equipe de Coordenação da REFAC continuará a mobilizar recursos para apoiar as actividades de acompanhamento.</w:t>
            </w:r>
          </w:p>
        </w:tc>
      </w:tr>
    </w:tbl>
    <w:p w14:paraId="5D829DC0" w14:textId="77777777" w:rsidR="001D05AB" w:rsidRPr="00043863" w:rsidRDefault="001D05AB" w:rsidP="001D05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libri" w:eastAsia="Calibri" w:hAnsi="Calibri" w:cs="Calibri"/>
          <w:b/>
          <w:color w:val="7030A0"/>
          <w:lang w:val="pt-PT" w:eastAsia="en-ZW"/>
        </w:rPr>
      </w:pPr>
    </w:p>
    <w:tbl>
      <w:tblPr>
        <w:tblW w:w="987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05"/>
      </w:tblGrid>
      <w:tr w:rsidR="00714C91" w:rsidRPr="00043863" w14:paraId="58181F25" w14:textId="77777777" w:rsidTr="001D05AB">
        <w:trPr>
          <w:trHeight w:val="263"/>
        </w:trPr>
        <w:tc>
          <w:tcPr>
            <w:tcW w:w="9878" w:type="dxa"/>
            <w:gridSpan w:val="2"/>
          </w:tcPr>
          <w:p w14:paraId="27468990" w14:textId="27633BD2" w:rsidR="00714C91" w:rsidRPr="00043863" w:rsidRDefault="001170A5" w:rsidP="001170A5">
            <w:pPr>
              <w:spacing w:after="0" w:line="276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b/>
                <w:color w:val="7030A0"/>
                <w:sz w:val="20"/>
                <w:szCs w:val="20"/>
                <w:lang w:val="pt-PT"/>
              </w:rPr>
              <w:t>Informações para contacto sobre o projecto</w:t>
            </w:r>
          </w:p>
        </w:tc>
      </w:tr>
      <w:tr w:rsidR="00714C91" w:rsidRPr="00043863" w14:paraId="032A0D3A" w14:textId="77777777" w:rsidTr="001D05AB">
        <w:trPr>
          <w:trHeight w:val="263"/>
        </w:trPr>
        <w:tc>
          <w:tcPr>
            <w:tcW w:w="4673" w:type="dxa"/>
          </w:tcPr>
          <w:p w14:paraId="306FB35F" w14:textId="2D08AAA0" w:rsidR="00714C91" w:rsidRPr="00043863" w:rsidRDefault="00256225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Coalizão da Educação para Todos na Ruanda</w:t>
            </w:r>
            <w:r w:rsidR="006979B0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 </w:t>
            </w:r>
            <w:r w:rsidR="007629CD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(Rwanda Education</w:t>
            </w:r>
            <w:r w:rsidR="00694560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 for All Coalition – REFAC)</w:t>
            </w:r>
          </w:p>
        </w:tc>
        <w:tc>
          <w:tcPr>
            <w:tcW w:w="5205" w:type="dxa"/>
          </w:tcPr>
          <w:p w14:paraId="484110B0" w14:textId="29B5A83E" w:rsidR="00714C91" w:rsidRPr="00043863" w:rsidRDefault="00AB31ED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Campanha Global pela Educação</w:t>
            </w:r>
            <w:r w:rsidR="00694560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 (Global Campaign for Education)</w:t>
            </w:r>
          </w:p>
        </w:tc>
      </w:tr>
      <w:tr w:rsidR="00714C91" w:rsidRPr="00043863" w14:paraId="385E64D1" w14:textId="77777777" w:rsidTr="001D05AB">
        <w:trPr>
          <w:trHeight w:val="248"/>
        </w:trPr>
        <w:tc>
          <w:tcPr>
            <w:tcW w:w="4673" w:type="dxa"/>
          </w:tcPr>
          <w:p w14:paraId="7F4A2303" w14:textId="00BFE5C6" w:rsidR="00714C91" w:rsidRPr="00043863" w:rsidRDefault="0041450F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hyperlink r:id="rId18" w:history="1">
              <w:r w:rsidR="004F0BEE" w:rsidRPr="00043863">
                <w:rPr>
                  <w:rStyle w:val="Hyperlink"/>
                  <w:rFonts w:eastAsia="Calibri" w:cs="Calibri"/>
                  <w:sz w:val="20"/>
                  <w:szCs w:val="20"/>
                  <w:lang w:val="pt-PT"/>
                </w:rPr>
                <w:t>www.refac.rw</w:t>
              </w:r>
            </w:hyperlink>
            <w:r w:rsidR="004F0BEE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.</w:t>
            </w:r>
          </w:p>
        </w:tc>
        <w:tc>
          <w:tcPr>
            <w:tcW w:w="5205" w:type="dxa"/>
          </w:tcPr>
          <w:p w14:paraId="5A2E2C17" w14:textId="0428A0C9" w:rsidR="00714C91" w:rsidRPr="00043863" w:rsidRDefault="0041450F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hyperlink r:id="rId19" w:history="1">
              <w:r w:rsidR="004F0BEE" w:rsidRPr="00043863">
                <w:rPr>
                  <w:rStyle w:val="Hyperlink"/>
                  <w:rFonts w:eastAsia="Calibri" w:cs="Calibri"/>
                  <w:sz w:val="20"/>
                  <w:szCs w:val="20"/>
                  <w:lang w:val="pt-PT"/>
                </w:rPr>
                <w:t>https://campaignforeducation.org/en</w:t>
              </w:r>
            </w:hyperlink>
            <w:r w:rsidR="004F0BEE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.</w:t>
            </w:r>
          </w:p>
        </w:tc>
      </w:tr>
      <w:tr w:rsidR="00714C91" w:rsidRPr="00043863" w14:paraId="5D816208" w14:textId="77777777" w:rsidTr="001D05AB">
        <w:trPr>
          <w:trHeight w:val="263"/>
        </w:trPr>
        <w:tc>
          <w:tcPr>
            <w:tcW w:w="4673" w:type="dxa"/>
          </w:tcPr>
          <w:p w14:paraId="184E8670" w14:textId="5CDE8610" w:rsidR="00714C91" w:rsidRPr="00043863" w:rsidRDefault="004F0BEE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Facebook</w:t>
            </w:r>
            <w:r w:rsidR="00714C91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: </w:t>
            </w:r>
            <w:hyperlink r:id="rId20" w:history="1">
              <w:r w:rsidRPr="00043863">
                <w:rPr>
                  <w:rStyle w:val="Hyperlink"/>
                  <w:rFonts w:eastAsia="Calibri" w:cs="Calibri"/>
                  <w:sz w:val="20"/>
                  <w:szCs w:val="20"/>
                  <w:lang w:val="pt-PT"/>
                </w:rPr>
                <w:t>https://refacrwanda/</w:t>
              </w:r>
            </w:hyperlink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.</w:t>
            </w:r>
          </w:p>
        </w:tc>
        <w:tc>
          <w:tcPr>
            <w:tcW w:w="5205" w:type="dxa"/>
          </w:tcPr>
          <w:p w14:paraId="1788285E" w14:textId="25AD00CF" w:rsidR="00714C91" w:rsidRPr="00043863" w:rsidRDefault="0041450F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hyperlink r:id="rId21" w:history="1">
              <w:r w:rsidR="004F0BEE" w:rsidRPr="00043863">
                <w:rPr>
                  <w:rStyle w:val="Hyperlink"/>
                  <w:rFonts w:eastAsia="Calibri" w:cs="Calibri"/>
                  <w:sz w:val="20"/>
                  <w:szCs w:val="20"/>
                  <w:lang w:val="pt-PT"/>
                </w:rPr>
                <w:t>https://www.facebook.com/campaignforeducation</w:t>
              </w:r>
            </w:hyperlink>
            <w:r w:rsidR="004F0BEE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.</w:t>
            </w:r>
          </w:p>
        </w:tc>
      </w:tr>
      <w:tr w:rsidR="00714C91" w:rsidRPr="00043863" w14:paraId="704142A3" w14:textId="77777777" w:rsidTr="001D05AB">
        <w:trPr>
          <w:trHeight w:val="318"/>
        </w:trPr>
        <w:tc>
          <w:tcPr>
            <w:tcW w:w="4673" w:type="dxa"/>
          </w:tcPr>
          <w:p w14:paraId="479ABC79" w14:textId="4F7ABB4A" w:rsidR="00714C91" w:rsidRPr="00043863" w:rsidRDefault="001F7255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Mr. Benson Rukabu</w:t>
            </w:r>
            <w:r w:rsidR="00714C91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, </w:t>
            </w:r>
            <w:r w:rsidR="00AB31ED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Coordenador Nacional</w:t>
            </w:r>
          </w:p>
          <w:p w14:paraId="163D598F" w14:textId="5FCA094D" w:rsidR="00714C91" w:rsidRPr="00043863" w:rsidRDefault="0041450F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hyperlink r:id="rId22" w:history="1">
              <w:r w:rsidR="004F0BEE" w:rsidRPr="00043863">
                <w:rPr>
                  <w:rStyle w:val="Hyperlink"/>
                  <w:rFonts w:eastAsia="Calibri" w:cs="Calibri"/>
                  <w:sz w:val="20"/>
                  <w:szCs w:val="20"/>
                  <w:lang w:val="pt-PT"/>
                </w:rPr>
                <w:t>rukabu@gmail.com</w:t>
              </w:r>
            </w:hyperlink>
            <w:r w:rsidR="004F0BEE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.</w:t>
            </w:r>
          </w:p>
        </w:tc>
        <w:tc>
          <w:tcPr>
            <w:tcW w:w="5205" w:type="dxa"/>
          </w:tcPr>
          <w:p w14:paraId="4AA17021" w14:textId="521AE3DA" w:rsidR="00714C91" w:rsidRPr="00043863" w:rsidRDefault="00714C91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r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 xml:space="preserve">Mr. Wolfgang Leumer, </w:t>
            </w:r>
            <w:r w:rsidR="001170A5" w:rsidRPr="00043863">
              <w:rPr>
                <w:rFonts w:eastAsia="Calibri" w:cs="Calibri"/>
                <w:color w:val="7030A0"/>
                <w:sz w:val="20"/>
                <w:szCs w:val="20"/>
                <w:lang w:val="pt-PT"/>
              </w:rPr>
              <w:t>Gerente Sénior do Programa</w:t>
            </w:r>
          </w:p>
          <w:p w14:paraId="2E579022" w14:textId="7904CB1B" w:rsidR="00714C91" w:rsidRPr="00043863" w:rsidRDefault="0041450F" w:rsidP="001D05AB">
            <w:pPr>
              <w:spacing w:after="0" w:line="240" w:lineRule="auto"/>
              <w:jc w:val="center"/>
              <w:rPr>
                <w:rFonts w:eastAsia="Calibri" w:cs="Calibri"/>
                <w:color w:val="7030A0"/>
                <w:sz w:val="20"/>
                <w:szCs w:val="20"/>
                <w:lang w:val="pt-PT"/>
              </w:rPr>
            </w:pPr>
            <w:hyperlink r:id="rId23">
              <w:r w:rsidR="00714C91" w:rsidRPr="00043863">
                <w:rPr>
                  <w:rFonts w:eastAsia="Calibri" w:cs="Calibri"/>
                  <w:color w:val="0563C1"/>
                  <w:sz w:val="20"/>
                  <w:szCs w:val="20"/>
                  <w:u w:val="single"/>
                  <w:lang w:val="pt-PT"/>
                </w:rPr>
                <w:t>wolfgang@campaignforeducation.org</w:t>
              </w:r>
            </w:hyperlink>
            <w:r w:rsidR="00714C91" w:rsidRPr="00043863">
              <w:rPr>
                <w:rFonts w:eastAsia="Calibri" w:cs="Calibri"/>
                <w:color w:val="7030A0"/>
                <w:sz w:val="20"/>
                <w:szCs w:val="20"/>
                <w:u w:val="single"/>
                <w:lang w:val="pt-PT"/>
              </w:rPr>
              <w:t>.</w:t>
            </w:r>
          </w:p>
        </w:tc>
      </w:tr>
    </w:tbl>
    <w:p w14:paraId="12A662B3" w14:textId="77777777" w:rsidR="00714C91" w:rsidRPr="00043863" w:rsidRDefault="00714C91" w:rsidP="00133A4F">
      <w:pPr>
        <w:spacing w:line="276" w:lineRule="auto"/>
        <w:rPr>
          <w:rFonts w:ascii="Calibri" w:eastAsia="Calibri" w:hAnsi="Calibri" w:cs="Times New Roman"/>
          <w:lang w:val="pt-PT"/>
        </w:rPr>
      </w:pPr>
    </w:p>
    <w:p w14:paraId="14252DB2" w14:textId="77777777" w:rsidR="0079398A" w:rsidRPr="00043863" w:rsidRDefault="0079398A" w:rsidP="00133A4F">
      <w:pPr>
        <w:spacing w:line="276" w:lineRule="auto"/>
        <w:rPr>
          <w:lang w:val="pt-PT"/>
        </w:rPr>
      </w:pPr>
    </w:p>
    <w:sectPr w:rsidR="0079398A" w:rsidRPr="00043863" w:rsidSect="0056339A">
      <w:pgSz w:w="11906" w:h="16838"/>
      <w:pgMar w:top="1440" w:right="1080" w:bottom="1440" w:left="1080" w:header="708" w:footer="737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F246" w14:textId="77777777" w:rsidR="0041450F" w:rsidRDefault="0041450F">
      <w:pPr>
        <w:spacing w:after="0" w:line="240" w:lineRule="auto"/>
      </w:pPr>
      <w:r>
        <w:separator/>
      </w:r>
    </w:p>
  </w:endnote>
  <w:endnote w:type="continuationSeparator" w:id="0">
    <w:p w14:paraId="05798473" w14:textId="77777777" w:rsidR="0041450F" w:rsidRDefault="004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undesSerif Office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64029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0BFFF" w14:textId="77777777" w:rsidR="003A00B9" w:rsidRDefault="00B0669B" w:rsidP="005D5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27667" w14:textId="77777777" w:rsidR="00F63D86" w:rsidRDefault="0041450F" w:rsidP="003A00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91582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26B66" w14:textId="77777777" w:rsidR="003A00B9" w:rsidRDefault="00B0669B" w:rsidP="005D5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038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8F04E5" w14:textId="77777777" w:rsidR="00F63D86" w:rsidRDefault="0041450F" w:rsidP="003A00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A64E" w14:textId="77777777" w:rsidR="00F63D86" w:rsidRDefault="00B066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ZW" w:eastAsia="en-ZW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4894E6C" wp14:editId="529281B1">
              <wp:simplePos x="0" y="0"/>
              <wp:positionH relativeFrom="column">
                <wp:posOffset>0</wp:posOffset>
              </wp:positionH>
              <wp:positionV relativeFrom="paragraph">
                <wp:posOffset>9944100</wp:posOffset>
              </wp:positionV>
              <wp:extent cx="466725" cy="329565"/>
              <wp:effectExtent l="0" t="0" r="0" b="0"/>
              <wp:wrapSquare wrapText="bothSides" distT="0" distB="0" distL="0" distR="0"/>
              <wp:docPr id="305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2E5ABF" w14:textId="77777777" w:rsidR="00F63D86" w:rsidRDefault="00B0669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894E6C" id="Rectangle 305" o:spid="_x0000_s1029" style="position:absolute;margin-left:0;margin-top:783pt;width:36.75pt;height:25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" fillcolor="#7030a0" stroked="f">
              <v:textbox inset="2.53958mm,1.2694mm,2.53958mm,1.2694mm">
                <w:txbxContent>
                  <w:p w14:paraId="1A2E5ABF" w14:textId="77777777" w:rsidR="00F63D86" w:rsidRDefault="00B0669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 xml:space="preserve"> PAGE   \* MERGEFORMAT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4DCA" w14:textId="1CF484D0" w:rsidR="0065285B" w:rsidRDefault="001450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8"/>
      </w:tabs>
      <w:spacing w:after="0" w:line="240" w:lineRule="auto"/>
      <w:rPr>
        <w:rFonts w:ascii="BundesSerif Office" w:eastAsia="BundesSerif Office" w:hAnsi="BundesSerif Office" w:cs="BundesSerif Office"/>
        <w:color w:val="A6A6A6"/>
        <w:sz w:val="16"/>
        <w:szCs w:val="16"/>
      </w:rPr>
    </w:pPr>
    <w:r>
      <w:rPr>
        <w:rFonts w:ascii="BundesSerif Office" w:eastAsia="BundesSerif Office" w:hAnsi="BundesSerif Office" w:cs="BundesSerif Office"/>
        <w:noProof/>
        <w:color w:val="A6A6A6"/>
        <w:sz w:val="16"/>
        <w:szCs w:val="16"/>
        <w:lang w:val="en-ZW" w:eastAsia="en-ZW"/>
      </w:rPr>
      <w:drawing>
        <wp:anchor distT="0" distB="0" distL="114300" distR="114300" simplePos="0" relativeHeight="251662336" behindDoc="1" locked="0" layoutInCell="1" allowOverlap="1" wp14:anchorId="6E408E7A" wp14:editId="0EF06A3D">
          <wp:simplePos x="0" y="0"/>
          <wp:positionH relativeFrom="margin">
            <wp:posOffset>-694690</wp:posOffset>
          </wp:positionH>
          <wp:positionV relativeFrom="margin">
            <wp:posOffset>9144000</wp:posOffset>
          </wp:positionV>
          <wp:extent cx="7717790" cy="619760"/>
          <wp:effectExtent l="0" t="0" r="3810" b="2540"/>
          <wp:wrapSquare wrapText="bothSides"/>
          <wp:docPr id="1600600827" name="Picture 1600600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77080" name="Picture 203057708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25321"/>
                  <a:stretch/>
                </pic:blipFill>
                <pic:spPr bwMode="auto">
                  <a:xfrm>
                    <a:off x="0" y="0"/>
                    <a:ext cx="771779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69B">
      <w:rPr>
        <w:rFonts w:ascii="BundesSerif Office" w:eastAsia="BundesSerif Office" w:hAnsi="BundesSerif Office" w:cs="BundesSerif Office"/>
        <w:color w:val="A6A6A6"/>
        <w:sz w:val="16"/>
        <w:szCs w:val="16"/>
      </w:rPr>
      <w:tab/>
    </w:r>
    <w:r w:rsidR="00B0669B">
      <w:rPr>
        <w:rFonts w:ascii="BundesSerif Office" w:eastAsia="BundesSerif Office" w:hAnsi="BundesSerif Office" w:cs="BundesSerif Office"/>
        <w:color w:val="A6A6A6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155C" w14:textId="77777777" w:rsidR="0065285B" w:rsidRDefault="00B066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8"/>
      </w:tabs>
      <w:spacing w:after="0" w:line="240" w:lineRule="auto"/>
      <w:rPr>
        <w:rFonts w:ascii="BundesSerif Office" w:eastAsia="BundesSerif Office" w:hAnsi="BundesSerif Office" w:cs="BundesSerif Office"/>
        <w:color w:val="000000"/>
      </w:rPr>
    </w:pPr>
    <w:r>
      <w:rPr>
        <w:rFonts w:ascii="BundesSerif Office" w:eastAsia="BundesSerif Office" w:hAnsi="BundesSerif Office" w:cs="BundesSerif Office"/>
        <w:color w:val="A6A6A6"/>
        <w:sz w:val="16"/>
        <w:szCs w:val="16"/>
      </w:rPr>
      <w:t>Final Report Form – Country Level</w:t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tab/>
      <w:t xml:space="preserve">Page </w:t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fldChar w:fldCharType="begin"/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instrText>PAGE</w:instrText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fldChar w:fldCharType="separate"/>
    </w:r>
    <w:r>
      <w:rPr>
        <w:rFonts w:ascii="BundesSerif Office" w:eastAsia="BundesSerif Office" w:hAnsi="BundesSerif Office" w:cs="BundesSerif Office"/>
        <w:noProof/>
        <w:color w:val="A6A6A6"/>
        <w:sz w:val="16"/>
        <w:szCs w:val="16"/>
      </w:rPr>
      <w:t>9</w:t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fldChar w:fldCharType="end"/>
    </w:r>
    <w:r>
      <w:rPr>
        <w:rFonts w:ascii="BundesSerif Office" w:eastAsia="BundesSerif Office" w:hAnsi="BundesSerif Office" w:cs="BundesSerif Office"/>
        <w:color w:val="A6A6A6"/>
        <w:sz w:val="16"/>
        <w:szCs w:val="16"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0819" w14:textId="77777777" w:rsidR="0041450F" w:rsidRDefault="0041450F">
      <w:pPr>
        <w:spacing w:after="0" w:line="240" w:lineRule="auto"/>
      </w:pPr>
      <w:r>
        <w:separator/>
      </w:r>
    </w:p>
  </w:footnote>
  <w:footnote w:type="continuationSeparator" w:id="0">
    <w:p w14:paraId="4525226B" w14:textId="77777777" w:rsidR="0041450F" w:rsidRDefault="0041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3E22" w14:textId="77777777" w:rsidR="00F63D86" w:rsidRDefault="00414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BF140" w14:textId="77777777" w:rsidR="00F63D86" w:rsidRDefault="00B0669B">
    <w:r>
      <w:rPr>
        <w:noProof/>
        <w:lang w:val="en-ZW" w:eastAsia="en-ZW"/>
      </w:rPr>
      <w:drawing>
        <wp:anchor distT="0" distB="0" distL="114300" distR="114300" simplePos="0" relativeHeight="251659264" behindDoc="0" locked="0" layoutInCell="1" hidden="0" allowOverlap="1" wp14:anchorId="6A047D23" wp14:editId="494198A2">
          <wp:simplePos x="0" y="0"/>
          <wp:positionH relativeFrom="column">
            <wp:posOffset>-662700</wp:posOffset>
          </wp:positionH>
          <wp:positionV relativeFrom="paragraph">
            <wp:posOffset>-445420</wp:posOffset>
          </wp:positionV>
          <wp:extent cx="7560310" cy="1610360"/>
          <wp:effectExtent l="0" t="0" r="0" b="0"/>
          <wp:wrapSquare wrapText="bothSides" distT="0" distB="0" distL="114300" distR="114300"/>
          <wp:docPr id="1595671120" name="Picture 1595671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1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A46A" w14:textId="5AB86D25" w:rsidR="0065285B" w:rsidRDefault="001D76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A6A6A6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A6A6A6"/>
        <w:sz w:val="16"/>
        <w:szCs w:val="16"/>
        <w:lang w:val="en-ZW" w:eastAsia="en-ZW"/>
      </w:rPr>
      <w:drawing>
        <wp:anchor distT="0" distB="0" distL="114300" distR="114300" simplePos="0" relativeHeight="251663360" behindDoc="1" locked="0" layoutInCell="1" allowOverlap="1" wp14:anchorId="792BC10D" wp14:editId="489DD096">
          <wp:simplePos x="0" y="0"/>
          <wp:positionH relativeFrom="column">
            <wp:posOffset>4470952</wp:posOffset>
          </wp:positionH>
          <wp:positionV relativeFrom="paragraph">
            <wp:posOffset>-133350</wp:posOffset>
          </wp:positionV>
          <wp:extent cx="1816100" cy="508000"/>
          <wp:effectExtent l="0" t="0" r="0" b="0"/>
          <wp:wrapTight wrapText="bothSides">
            <wp:wrapPolygon edited="0">
              <wp:start x="0" y="0"/>
              <wp:lineTo x="0" y="20520"/>
              <wp:lineTo x="3172" y="21060"/>
              <wp:lineTo x="11178" y="21060"/>
              <wp:lineTo x="11329" y="18360"/>
              <wp:lineTo x="21449" y="16740"/>
              <wp:lineTo x="21449" y="5940"/>
              <wp:lineTo x="20845" y="4860"/>
              <wp:lineTo x="14803" y="0"/>
              <wp:lineTo x="0" y="0"/>
            </wp:wrapPolygon>
          </wp:wrapTight>
          <wp:docPr id="38748371" name="Picture 38748371" descr="A picture containing font, tex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65672" name="Picture 13" descr="A picture containing font, tex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A6A6A6"/>
        <w:sz w:val="16"/>
        <w:szCs w:val="16"/>
        <w:lang w:val="en-ZW" w:eastAsia="en-ZW"/>
      </w:rPr>
      <w:drawing>
        <wp:anchor distT="0" distB="0" distL="114300" distR="114300" simplePos="0" relativeHeight="251661312" behindDoc="1" locked="0" layoutInCell="1" allowOverlap="1" wp14:anchorId="598631E6" wp14:editId="56BC70BC">
          <wp:simplePos x="0" y="0"/>
          <wp:positionH relativeFrom="column">
            <wp:posOffset>-487211</wp:posOffset>
          </wp:positionH>
          <wp:positionV relativeFrom="paragraph">
            <wp:posOffset>-420370</wp:posOffset>
          </wp:positionV>
          <wp:extent cx="4899660" cy="1010285"/>
          <wp:effectExtent l="0" t="0" r="2540" b="5715"/>
          <wp:wrapTight wrapText="bothSides">
            <wp:wrapPolygon edited="0">
              <wp:start x="0" y="0"/>
              <wp:lineTo x="0" y="21451"/>
              <wp:lineTo x="21555" y="21451"/>
              <wp:lineTo x="21555" y="0"/>
              <wp:lineTo x="0" y="0"/>
            </wp:wrapPolygon>
          </wp:wrapTight>
          <wp:docPr id="1352498677" name="Picture 1352498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660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4DC31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6C"/>
      </v:shape>
    </w:pict>
  </w:numPicBullet>
  <w:abstractNum w:abstractNumId="0" w15:restartNumberingAfterBreak="0">
    <w:nsid w:val="08096ACC"/>
    <w:multiLevelType w:val="hybridMultilevel"/>
    <w:tmpl w:val="C578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6E7"/>
    <w:multiLevelType w:val="hybridMultilevel"/>
    <w:tmpl w:val="20969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FAB"/>
    <w:multiLevelType w:val="hybridMultilevel"/>
    <w:tmpl w:val="498CD2FC"/>
    <w:lvl w:ilvl="0" w:tplc="4EB6046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C5F54"/>
    <w:multiLevelType w:val="hybridMultilevel"/>
    <w:tmpl w:val="A164F05A"/>
    <w:lvl w:ilvl="0" w:tplc="5E30C2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64" w:hanging="360"/>
      </w:pPr>
    </w:lvl>
    <w:lvl w:ilvl="2" w:tplc="3009001B" w:tentative="1">
      <w:start w:val="1"/>
      <w:numFmt w:val="lowerRoman"/>
      <w:lvlText w:val="%3."/>
      <w:lvlJc w:val="right"/>
      <w:pPr>
        <w:ind w:left="2084" w:hanging="180"/>
      </w:pPr>
    </w:lvl>
    <w:lvl w:ilvl="3" w:tplc="3009000F" w:tentative="1">
      <w:start w:val="1"/>
      <w:numFmt w:val="decimal"/>
      <w:lvlText w:val="%4."/>
      <w:lvlJc w:val="left"/>
      <w:pPr>
        <w:ind w:left="2804" w:hanging="360"/>
      </w:pPr>
    </w:lvl>
    <w:lvl w:ilvl="4" w:tplc="30090019" w:tentative="1">
      <w:start w:val="1"/>
      <w:numFmt w:val="lowerLetter"/>
      <w:lvlText w:val="%5."/>
      <w:lvlJc w:val="left"/>
      <w:pPr>
        <w:ind w:left="3524" w:hanging="360"/>
      </w:pPr>
    </w:lvl>
    <w:lvl w:ilvl="5" w:tplc="3009001B" w:tentative="1">
      <w:start w:val="1"/>
      <w:numFmt w:val="lowerRoman"/>
      <w:lvlText w:val="%6."/>
      <w:lvlJc w:val="right"/>
      <w:pPr>
        <w:ind w:left="4244" w:hanging="180"/>
      </w:pPr>
    </w:lvl>
    <w:lvl w:ilvl="6" w:tplc="3009000F" w:tentative="1">
      <w:start w:val="1"/>
      <w:numFmt w:val="decimal"/>
      <w:lvlText w:val="%7."/>
      <w:lvlJc w:val="left"/>
      <w:pPr>
        <w:ind w:left="4964" w:hanging="360"/>
      </w:pPr>
    </w:lvl>
    <w:lvl w:ilvl="7" w:tplc="30090019" w:tentative="1">
      <w:start w:val="1"/>
      <w:numFmt w:val="lowerLetter"/>
      <w:lvlText w:val="%8."/>
      <w:lvlJc w:val="left"/>
      <w:pPr>
        <w:ind w:left="5684" w:hanging="360"/>
      </w:pPr>
    </w:lvl>
    <w:lvl w:ilvl="8" w:tplc="3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511D82"/>
    <w:multiLevelType w:val="hybridMultilevel"/>
    <w:tmpl w:val="67AE0C0C"/>
    <w:lvl w:ilvl="0" w:tplc="D7100B94">
      <w:start w:val="5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D2937DE"/>
    <w:multiLevelType w:val="hybridMultilevel"/>
    <w:tmpl w:val="0E7AE578"/>
    <w:lvl w:ilvl="0" w:tplc="F294D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64" w:hanging="360"/>
      </w:pPr>
    </w:lvl>
    <w:lvl w:ilvl="2" w:tplc="3009001B" w:tentative="1">
      <w:start w:val="1"/>
      <w:numFmt w:val="lowerRoman"/>
      <w:lvlText w:val="%3."/>
      <w:lvlJc w:val="right"/>
      <w:pPr>
        <w:ind w:left="2084" w:hanging="180"/>
      </w:pPr>
    </w:lvl>
    <w:lvl w:ilvl="3" w:tplc="3009000F" w:tentative="1">
      <w:start w:val="1"/>
      <w:numFmt w:val="decimal"/>
      <w:lvlText w:val="%4."/>
      <w:lvlJc w:val="left"/>
      <w:pPr>
        <w:ind w:left="2804" w:hanging="360"/>
      </w:pPr>
    </w:lvl>
    <w:lvl w:ilvl="4" w:tplc="30090019" w:tentative="1">
      <w:start w:val="1"/>
      <w:numFmt w:val="lowerLetter"/>
      <w:lvlText w:val="%5."/>
      <w:lvlJc w:val="left"/>
      <w:pPr>
        <w:ind w:left="3524" w:hanging="360"/>
      </w:pPr>
    </w:lvl>
    <w:lvl w:ilvl="5" w:tplc="3009001B" w:tentative="1">
      <w:start w:val="1"/>
      <w:numFmt w:val="lowerRoman"/>
      <w:lvlText w:val="%6."/>
      <w:lvlJc w:val="right"/>
      <w:pPr>
        <w:ind w:left="4244" w:hanging="180"/>
      </w:pPr>
    </w:lvl>
    <w:lvl w:ilvl="6" w:tplc="3009000F" w:tentative="1">
      <w:start w:val="1"/>
      <w:numFmt w:val="decimal"/>
      <w:lvlText w:val="%7."/>
      <w:lvlJc w:val="left"/>
      <w:pPr>
        <w:ind w:left="4964" w:hanging="360"/>
      </w:pPr>
    </w:lvl>
    <w:lvl w:ilvl="7" w:tplc="30090019" w:tentative="1">
      <w:start w:val="1"/>
      <w:numFmt w:val="lowerLetter"/>
      <w:lvlText w:val="%8."/>
      <w:lvlJc w:val="left"/>
      <w:pPr>
        <w:ind w:left="5684" w:hanging="360"/>
      </w:pPr>
    </w:lvl>
    <w:lvl w:ilvl="8" w:tplc="3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337CB9"/>
    <w:multiLevelType w:val="hybridMultilevel"/>
    <w:tmpl w:val="3A5E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5A3"/>
    <w:multiLevelType w:val="hybridMultilevel"/>
    <w:tmpl w:val="9496C6D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C51DF"/>
    <w:multiLevelType w:val="hybridMultilevel"/>
    <w:tmpl w:val="24B6A7A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2BBB"/>
    <w:multiLevelType w:val="hybridMultilevel"/>
    <w:tmpl w:val="F63E29B2"/>
    <w:lvl w:ilvl="0" w:tplc="4EB60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B6CC2"/>
    <w:multiLevelType w:val="hybridMultilevel"/>
    <w:tmpl w:val="28EC2FBC"/>
    <w:lvl w:ilvl="0" w:tplc="4EB60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46AF"/>
    <w:multiLevelType w:val="hybridMultilevel"/>
    <w:tmpl w:val="F796F134"/>
    <w:lvl w:ilvl="0" w:tplc="F18C1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858"/>
    <w:multiLevelType w:val="hybridMultilevel"/>
    <w:tmpl w:val="B178F42C"/>
    <w:lvl w:ilvl="0" w:tplc="A3ACAD7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1B9F"/>
    <w:multiLevelType w:val="hybridMultilevel"/>
    <w:tmpl w:val="DB1203C8"/>
    <w:lvl w:ilvl="0" w:tplc="4EB60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77BE"/>
    <w:multiLevelType w:val="hybridMultilevel"/>
    <w:tmpl w:val="A5ECF30C"/>
    <w:lvl w:ilvl="0" w:tplc="A71697C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329EA"/>
    <w:multiLevelType w:val="hybridMultilevel"/>
    <w:tmpl w:val="ECD41D0C"/>
    <w:lvl w:ilvl="0" w:tplc="C3F2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1CD3"/>
    <w:multiLevelType w:val="hybridMultilevel"/>
    <w:tmpl w:val="A41C60BA"/>
    <w:lvl w:ilvl="0" w:tplc="4EB60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40F8"/>
    <w:multiLevelType w:val="hybridMultilevel"/>
    <w:tmpl w:val="77347282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A4FBC"/>
    <w:multiLevelType w:val="hybridMultilevel"/>
    <w:tmpl w:val="6F465250"/>
    <w:lvl w:ilvl="0" w:tplc="5B928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14800"/>
    <w:multiLevelType w:val="hybridMultilevel"/>
    <w:tmpl w:val="C8DC4DEE"/>
    <w:lvl w:ilvl="0" w:tplc="A8068326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7A96"/>
    <w:multiLevelType w:val="hybridMultilevel"/>
    <w:tmpl w:val="3AD802C6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20"/>
  </w:num>
  <w:num w:numId="13">
    <w:abstractNumId w:val="8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1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A"/>
    <w:rsid w:val="0001301C"/>
    <w:rsid w:val="00025EFF"/>
    <w:rsid w:val="000300A7"/>
    <w:rsid w:val="00043863"/>
    <w:rsid w:val="00046814"/>
    <w:rsid w:val="00047BFE"/>
    <w:rsid w:val="00066D21"/>
    <w:rsid w:val="0007754E"/>
    <w:rsid w:val="00081932"/>
    <w:rsid w:val="00083A03"/>
    <w:rsid w:val="000A72F7"/>
    <w:rsid w:val="000C17E1"/>
    <w:rsid w:val="000C7B2D"/>
    <w:rsid w:val="000F0384"/>
    <w:rsid w:val="000F2776"/>
    <w:rsid w:val="001101BA"/>
    <w:rsid w:val="001170A5"/>
    <w:rsid w:val="00127B60"/>
    <w:rsid w:val="00133A4F"/>
    <w:rsid w:val="00143366"/>
    <w:rsid w:val="00145079"/>
    <w:rsid w:val="00151D7C"/>
    <w:rsid w:val="00183F71"/>
    <w:rsid w:val="00186EF1"/>
    <w:rsid w:val="001A55E8"/>
    <w:rsid w:val="001A6F55"/>
    <w:rsid w:val="001A7AB5"/>
    <w:rsid w:val="001B0F63"/>
    <w:rsid w:val="001D05AB"/>
    <w:rsid w:val="001D7611"/>
    <w:rsid w:val="001E05AC"/>
    <w:rsid w:val="001E7AEC"/>
    <w:rsid w:val="001F7255"/>
    <w:rsid w:val="002010E2"/>
    <w:rsid w:val="002263EB"/>
    <w:rsid w:val="00242B19"/>
    <w:rsid w:val="00256225"/>
    <w:rsid w:val="00271DFA"/>
    <w:rsid w:val="00274608"/>
    <w:rsid w:val="00283202"/>
    <w:rsid w:val="002B313B"/>
    <w:rsid w:val="002B6CA6"/>
    <w:rsid w:val="002E4C4B"/>
    <w:rsid w:val="003008BD"/>
    <w:rsid w:val="00313FB5"/>
    <w:rsid w:val="00316F4F"/>
    <w:rsid w:val="00326726"/>
    <w:rsid w:val="00327B1E"/>
    <w:rsid w:val="00344586"/>
    <w:rsid w:val="00366C73"/>
    <w:rsid w:val="0037016A"/>
    <w:rsid w:val="00377D69"/>
    <w:rsid w:val="003B5EDD"/>
    <w:rsid w:val="003B75DC"/>
    <w:rsid w:val="003D4BC6"/>
    <w:rsid w:val="003E317C"/>
    <w:rsid w:val="0041298D"/>
    <w:rsid w:val="0041450F"/>
    <w:rsid w:val="00414743"/>
    <w:rsid w:val="004373D8"/>
    <w:rsid w:val="00446488"/>
    <w:rsid w:val="00466559"/>
    <w:rsid w:val="00492B2C"/>
    <w:rsid w:val="004A2882"/>
    <w:rsid w:val="004A2D9A"/>
    <w:rsid w:val="004F0BEE"/>
    <w:rsid w:val="005201D2"/>
    <w:rsid w:val="00523A5C"/>
    <w:rsid w:val="00523FDC"/>
    <w:rsid w:val="00534F95"/>
    <w:rsid w:val="005720BE"/>
    <w:rsid w:val="00584363"/>
    <w:rsid w:val="005B1DAC"/>
    <w:rsid w:val="005C36C1"/>
    <w:rsid w:val="005D3AFF"/>
    <w:rsid w:val="005E090F"/>
    <w:rsid w:val="005F123C"/>
    <w:rsid w:val="005F26AE"/>
    <w:rsid w:val="005F4F47"/>
    <w:rsid w:val="00603B9A"/>
    <w:rsid w:val="0061110C"/>
    <w:rsid w:val="006125F0"/>
    <w:rsid w:val="006457E7"/>
    <w:rsid w:val="00645AC7"/>
    <w:rsid w:val="00680AF4"/>
    <w:rsid w:val="00694560"/>
    <w:rsid w:val="006979B0"/>
    <w:rsid w:val="006C73E8"/>
    <w:rsid w:val="006D49AE"/>
    <w:rsid w:val="006E237E"/>
    <w:rsid w:val="006E4521"/>
    <w:rsid w:val="007001E8"/>
    <w:rsid w:val="00714C91"/>
    <w:rsid w:val="00753CFD"/>
    <w:rsid w:val="007629CD"/>
    <w:rsid w:val="00782C33"/>
    <w:rsid w:val="00783C4F"/>
    <w:rsid w:val="0079398A"/>
    <w:rsid w:val="007A2C2F"/>
    <w:rsid w:val="007C23C3"/>
    <w:rsid w:val="008148FB"/>
    <w:rsid w:val="00821C01"/>
    <w:rsid w:val="00866A00"/>
    <w:rsid w:val="008677A7"/>
    <w:rsid w:val="008735C4"/>
    <w:rsid w:val="008B270A"/>
    <w:rsid w:val="008D224B"/>
    <w:rsid w:val="008F769B"/>
    <w:rsid w:val="00901A6A"/>
    <w:rsid w:val="00950C24"/>
    <w:rsid w:val="00975480"/>
    <w:rsid w:val="009A7D65"/>
    <w:rsid w:val="009C61FE"/>
    <w:rsid w:val="009D0B72"/>
    <w:rsid w:val="009E4350"/>
    <w:rsid w:val="009E7EAC"/>
    <w:rsid w:val="009F158D"/>
    <w:rsid w:val="00A07C1C"/>
    <w:rsid w:val="00A131FE"/>
    <w:rsid w:val="00A17798"/>
    <w:rsid w:val="00A52D90"/>
    <w:rsid w:val="00A56459"/>
    <w:rsid w:val="00A6296D"/>
    <w:rsid w:val="00A6369F"/>
    <w:rsid w:val="00A6648A"/>
    <w:rsid w:val="00A765D5"/>
    <w:rsid w:val="00AB31ED"/>
    <w:rsid w:val="00B0669B"/>
    <w:rsid w:val="00B41A0F"/>
    <w:rsid w:val="00B55B1C"/>
    <w:rsid w:val="00BA4EB7"/>
    <w:rsid w:val="00BA7F3B"/>
    <w:rsid w:val="00BB388E"/>
    <w:rsid w:val="00BE6127"/>
    <w:rsid w:val="00C05F41"/>
    <w:rsid w:val="00C158F9"/>
    <w:rsid w:val="00C51F1D"/>
    <w:rsid w:val="00C77CB3"/>
    <w:rsid w:val="00C86B74"/>
    <w:rsid w:val="00CA2EA9"/>
    <w:rsid w:val="00CB5DDB"/>
    <w:rsid w:val="00CD237D"/>
    <w:rsid w:val="00CD37E9"/>
    <w:rsid w:val="00CD57E7"/>
    <w:rsid w:val="00CF3931"/>
    <w:rsid w:val="00CF560A"/>
    <w:rsid w:val="00D209BE"/>
    <w:rsid w:val="00D27B63"/>
    <w:rsid w:val="00D62174"/>
    <w:rsid w:val="00D91473"/>
    <w:rsid w:val="00D9288B"/>
    <w:rsid w:val="00DB4BC9"/>
    <w:rsid w:val="00DB5C91"/>
    <w:rsid w:val="00E30D7B"/>
    <w:rsid w:val="00E31A11"/>
    <w:rsid w:val="00E65F34"/>
    <w:rsid w:val="00E72A8C"/>
    <w:rsid w:val="00E77BA7"/>
    <w:rsid w:val="00EC1C62"/>
    <w:rsid w:val="00ED4D20"/>
    <w:rsid w:val="00ED5358"/>
    <w:rsid w:val="00EE4C93"/>
    <w:rsid w:val="00EE68EC"/>
    <w:rsid w:val="00F10B51"/>
    <w:rsid w:val="00F15C79"/>
    <w:rsid w:val="00F15D99"/>
    <w:rsid w:val="00F21B12"/>
    <w:rsid w:val="00F372A4"/>
    <w:rsid w:val="00F44FE5"/>
    <w:rsid w:val="00F56D35"/>
    <w:rsid w:val="00F64871"/>
    <w:rsid w:val="00FB2A9C"/>
    <w:rsid w:val="00FB53BC"/>
    <w:rsid w:val="00FD0596"/>
    <w:rsid w:val="00FF54B1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4907C"/>
  <w15:chartTrackingRefBased/>
  <w15:docId w15:val="{AED75D2B-E78B-4E5A-ABCF-6D672FE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0"/>
    <w:rPr>
      <w:rFonts w:ascii="Constantia" w:hAnsi="Constant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9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14C91"/>
    <w:rPr>
      <w:rFonts w:ascii="Calibri" w:eastAsia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14C91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714C91"/>
    <w:pP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14C91"/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714C91"/>
    <w:pPr>
      <w:spacing w:after="0" w:line="240" w:lineRule="auto"/>
    </w:pPr>
    <w:rPr>
      <w:rFonts w:ascii="Calibri" w:eastAsia="Calibri" w:hAnsi="Calibri" w:cs="Calibri"/>
      <w:lang w:val="en-GB" w:eastAsia="en-GB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4C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101B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43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0C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yperlink" Target="https://www.refac.r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ampaignforeducatio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refacrwan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wolfgang@campaignforeducation.or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ampaignforeducation.org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hyperlink" Target="mailto:rukab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DCBA8-2F55-EB4B-B182-DF13498F8CD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A5D0-223F-4F3B-B8CB-26CE1A4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2023-06-27T06:50:00Z</dcterms:created>
  <dcterms:modified xsi:type="dcterms:W3CDTF">2023-07-03T07:52:00Z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documentId_9646</vt:lpwstr>
  </property>
  <property fmtid="{D5CDD505-2E9C-101B-9397-08002B2CF9AE}" pid="3" name="grammarly_documentContext">
    <vt:lpwstr>{"goals":[],"domain":"general","emotions":[],"dialect":"british"}</vt:lpwstr>
  </property>
</Properties>
</file>