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Autospacing="1" w:afterAutospacing="1"/>
        <w:jc w:val="center"/>
        <w:rPr>
          <w:rFonts w:ascii="Arial" w:hAnsi="Arial" w:eastAsia="Times New Roman" w:cs="Arial"/>
          <w:b/>
          <w:b/>
          <w:color w:val="252525"/>
          <w:sz w:val="24"/>
        </w:rPr>
      </w:pPr>
      <w:r>
        <w:rPr/>
        <w:drawing>
          <wp:inline distT="0" distB="0" distL="0" distR="0">
            <wp:extent cx="2927985" cy="228981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68B1DB1Normal1"/>
        <w:spacing w:lineRule="auto" w:line="360" w:beforeAutospacing="1" w:afterAutospacing="1"/>
        <w:jc w:val="both"/>
        <w:rPr>
          <w:rFonts w:ascii="Arial" w:hAnsi="Arial" w:eastAsia="Times New Roman" w:cs="Arial"/>
          <w:color w:val="252525"/>
          <w:sz w:val="24"/>
        </w:rPr>
      </w:pPr>
      <w:r>
        <w:rPr>
          <w:lang w:val="pt-PT"/>
        </w:rPr>
        <w:t>Carta aos Governos Nacionais sobre a Descolonização do Financiamento da Educação</w:t>
      </w:r>
    </w:p>
    <w:p>
      <w:pPr>
        <w:pStyle w:val="P68B1DB1Normal1"/>
        <w:spacing w:lineRule="auto" w:line="360" w:beforeAutospacing="1" w:afterAutospacing="1"/>
        <w:jc w:val="both"/>
        <w:rPr>
          <w:rFonts w:ascii="Arial" w:hAnsi="Arial" w:eastAsia="Times New Roman" w:cs="Arial"/>
          <w:b/>
          <w:b/>
          <w:color w:val="252525"/>
          <w:sz w:val="24"/>
        </w:rPr>
      </w:pPr>
      <w:r>
        <w:rPr>
          <w:lang w:val="pt-PT"/>
        </w:rPr>
        <w:t>Caro(a) ________,</w:t>
      </w:r>
    </w:p>
    <w:p>
      <w:pPr>
        <w:pStyle w:val="P68B1DB1Normal2"/>
        <w:spacing w:lineRule="auto" w:line="360" w:beforeAutospacing="1" w:afterAutospacing="1"/>
        <w:jc w:val="both"/>
        <w:rPr>
          <w:rFonts w:ascii="Arial" w:hAnsi="Arial" w:eastAsia="Times New Roman" w:cs="Arial"/>
          <w:color w:val="252525"/>
          <w:sz w:val="24"/>
        </w:rPr>
      </w:pPr>
      <w:r>
        <w:rPr>
          <w:lang w:val="pt-PT"/>
        </w:rPr>
        <w:t>_____ está ativamente empenhada na Semana de Ação Global pela Educação (GAWE na sigla em inglês) organizada pela Campanha Global pela Educação. O tema da GAWE2023 é Descolonizar o Financiamento da Educação, pelo que estamos perante uma boa oportunidade para relembrar as principais obrigações do Estado, contempladas no direito internacional, no que toca ao financiamento do ensino.</w:t>
      </w:r>
    </w:p>
    <w:p>
      <w:pPr>
        <w:pStyle w:val="P68B1DB1Normal2"/>
        <w:spacing w:lineRule="auto" w:line="360" w:beforeAutospacing="1" w:afterAutospacing="1"/>
        <w:jc w:val="both"/>
        <w:rPr>
          <w:rFonts w:ascii="Arial" w:hAnsi="Arial" w:eastAsia="Times New Roman" w:cs="Arial"/>
          <w:color w:val="252525"/>
          <w:sz w:val="24"/>
        </w:rPr>
      </w:pPr>
      <w:r>
        <w:rPr>
          <w:lang w:val="pt-PT"/>
        </w:rPr>
        <w:t>A Declaração Universal dos Direitos Humanos (DUDH), o Pacto Internacional sobre Direitos Económicos, Sociais e Culturais (PIDESC) e a Convenção das Nações Unidas sobre os Direitos da Criança (CDC) reiteram o direito a um ensino primário gratuito e obrigatório e o direito a um ensino universalmente disponível e progressivamente gratuito no nível secundário de ensino. Estes instrumentos internacionais colocam a ênfase também no direito à formação contínua, no ensino da infância até a idade adulta, no direito a um ensino público de qualidade e no direito a um ensino sem discriminação que atente nas necessidades dos mais marginalizados.</w:t>
      </w:r>
    </w:p>
    <w:p>
      <w:pPr>
        <w:pStyle w:val="P68B1DB1Normal2"/>
        <w:spacing w:lineRule="auto" w:line="360" w:beforeAutospacing="1" w:afterAutospacing="1"/>
        <w:jc w:val="both"/>
        <w:rPr>
          <w:rFonts w:ascii="Arial" w:hAnsi="Arial" w:eastAsia="Times New Roman" w:cs="Arial"/>
          <w:color w:val="252525"/>
          <w:sz w:val="24"/>
        </w:rPr>
      </w:pPr>
      <w:r>
        <w:rPr>
          <w:lang w:val="pt-PT"/>
        </w:rPr>
        <w:t xml:space="preserve">Fica assim bem claro que: </w:t>
      </w:r>
    </w:p>
    <w:p>
      <w:pPr>
        <w:pStyle w:val="P68B1DB1Normal2"/>
        <w:numPr>
          <w:ilvl w:val="0"/>
          <w:numId w:val="1"/>
        </w:numPr>
        <w:spacing w:lineRule="auto" w:line="360" w:beforeAutospacing="1" w:after="0"/>
        <w:jc w:val="both"/>
        <w:rPr>
          <w:rFonts w:ascii="Arial" w:hAnsi="Arial" w:eastAsia="Times New Roman" w:cs="Arial"/>
          <w:color w:val="252525"/>
          <w:sz w:val="24"/>
        </w:rPr>
      </w:pPr>
      <w:r>
        <w:rPr>
          <w:lang w:val="pt-PT"/>
        </w:rPr>
        <w:t xml:space="preserve">O ensino deve estar disponível e acessível a todos; </w:t>
      </w:r>
    </w:p>
    <w:p>
      <w:pPr>
        <w:pStyle w:val="P68B1DB1Normal2"/>
        <w:numPr>
          <w:ilvl w:val="0"/>
          <w:numId w:val="1"/>
        </w:numPr>
        <w:spacing w:lineRule="auto" w:line="360" w:before="0" w:after="0"/>
        <w:jc w:val="both"/>
        <w:rPr>
          <w:rFonts w:ascii="Arial" w:hAnsi="Arial" w:eastAsia="Times New Roman" w:cs="Arial"/>
          <w:color w:val="252525"/>
          <w:sz w:val="24"/>
        </w:rPr>
      </w:pPr>
      <w:r>
        <w:rPr>
          <w:lang w:val="pt-PT"/>
        </w:rPr>
        <w:t xml:space="preserve">Deve ser fornecido gratuitamente e sem discriminação. </w:t>
      </w:r>
    </w:p>
    <w:p>
      <w:pPr>
        <w:pStyle w:val="P68B1DB1Normal2"/>
        <w:numPr>
          <w:ilvl w:val="0"/>
          <w:numId w:val="1"/>
        </w:numPr>
        <w:spacing w:lineRule="auto" w:line="360" w:before="0" w:after="0"/>
        <w:jc w:val="both"/>
        <w:rPr>
          <w:rFonts w:ascii="Arial" w:hAnsi="Arial" w:eastAsia="Times New Roman" w:cs="Arial"/>
          <w:color w:val="252525"/>
          <w:sz w:val="24"/>
        </w:rPr>
      </w:pPr>
      <w:r>
        <w:rPr>
          <w:lang w:val="pt-PT"/>
        </w:rPr>
        <w:t xml:space="preserve">Deve ser de boa qualidade, e </w:t>
      </w:r>
    </w:p>
    <w:p>
      <w:pPr>
        <w:pStyle w:val="P68B1DB1Normal2"/>
        <w:numPr>
          <w:ilvl w:val="0"/>
          <w:numId w:val="1"/>
        </w:numPr>
        <w:spacing w:lineRule="auto" w:line="360" w:before="0" w:afterAutospacing="1"/>
        <w:jc w:val="both"/>
        <w:rPr>
          <w:rFonts w:ascii="Arial" w:hAnsi="Arial" w:eastAsia="Times New Roman" w:cs="Arial"/>
          <w:color w:val="252525"/>
          <w:sz w:val="24"/>
        </w:rPr>
      </w:pPr>
      <w:r>
        <w:rPr>
          <w:lang w:val="pt-PT"/>
        </w:rPr>
        <w:t>Deve promover a igualdade social.</w:t>
      </w:r>
    </w:p>
    <w:p>
      <w:pPr>
        <w:pStyle w:val="P68B1DB1Normal2"/>
        <w:spacing w:lineRule="auto" w:line="360" w:beforeAutospacing="1" w:afterAutospacing="1"/>
        <w:jc w:val="both"/>
        <w:rPr>
          <w:rFonts w:ascii="Arial" w:hAnsi="Arial" w:eastAsia="Times New Roman" w:cs="Arial"/>
          <w:color w:val="252525"/>
          <w:sz w:val="24"/>
        </w:rPr>
      </w:pPr>
      <w:r>
        <w:rPr>
          <w:lang w:val="pt-PT"/>
        </w:rPr>
        <w:t>Para cumprir estas obrigações, os governos terão de tomar medidas para aumentarem os rácios face ao PIB através de reformas fiscais progressivas e pôr fim às políticas de austeridade, sobretudo a redução da carga salarial no setor público que afeta sobretudo o financiamento adequado do ensino.</w:t>
      </w:r>
    </w:p>
    <w:p>
      <w:pPr>
        <w:pStyle w:val="P68B1DB1Normal2"/>
        <w:spacing w:lineRule="auto" w:line="360" w:beforeAutospacing="1" w:afterAutospacing="1"/>
        <w:jc w:val="both"/>
        <w:rPr>
          <w:rFonts w:ascii="Arial" w:hAnsi="Arial" w:eastAsia="Times New Roman" w:cs="Arial"/>
          <w:color w:val="252525"/>
          <w:sz w:val="24"/>
        </w:rPr>
      </w:pPr>
      <w:r>
        <w:rPr>
          <w:lang w:val="pt-PT"/>
        </w:rPr>
        <w:t>Acreditamos que também é necessário que o governo reveja a arquitetura financeira e da dívida internacional para garantir a mobilização de financiamento suficiente, por forma a ajudar no cumprimento dos objetivos de desenvolvimento sustentável a longo prazo, incluindo a remoção dos condicionalismos que exigem cortes da despesa com ensino como pré-requisito para conseguir novos financiamentos e usando ferramentas inovadoras, como swaps de dívida por educação.</w:t>
      </w:r>
    </w:p>
    <w:p>
      <w:pPr>
        <w:pStyle w:val="P68B1DB1Normal2"/>
        <w:spacing w:lineRule="auto" w:line="360" w:beforeAutospacing="1" w:afterAutospacing="1"/>
        <w:jc w:val="both"/>
        <w:rPr>
          <w:rFonts w:ascii="Arial" w:hAnsi="Arial" w:eastAsia="Times New Roman" w:cs="Arial"/>
          <w:color w:val="252525"/>
          <w:sz w:val="24"/>
        </w:rPr>
      </w:pPr>
      <w:r>
        <w:rPr>
          <w:lang w:val="pt-PT"/>
        </w:rPr>
        <w:t>Estamos cientes que muitos dos obstáculos no sentido de mudar a situação financeira - especialmente aqueles que impedem o reforço do orçamento do ensino - são fruto de imposições por parte de instituições financeiras internacionais. Pedimos assim ao vosso governo que apele ao Fundo Monetário Internacional (FMI), ao Banco Mundial e a outras instituições financeiras internacionais para que removam as medidas de austeridade, recomendações e obstáculos existentes, bem como as restrições salariais do setor público que desencorajam o aumento da despesa com os salários de professores.</w:t>
      </w:r>
    </w:p>
    <w:p>
      <w:pPr>
        <w:pStyle w:val="P68B1DB1Normal2"/>
        <w:spacing w:lineRule="auto" w:line="360" w:beforeAutospacing="1" w:afterAutospacing="1"/>
        <w:jc w:val="both"/>
        <w:rPr>
          <w:rFonts w:ascii="Arial" w:hAnsi="Arial" w:eastAsia="Times New Roman" w:cs="Arial"/>
          <w:color w:val="252525"/>
          <w:sz w:val="24"/>
        </w:rPr>
      </w:pPr>
      <w:r>
        <w:rPr>
          <w:lang w:val="pt-PT"/>
        </w:rPr>
        <w:t>Reiteramos ao governo a nossa predisposição para cooperar na luta por um orçamento adequado para o ensino e relembramos com todo o respeito a importância do compromisso no sentido de abrir os processos de definição dos orçamentos Nacionais e do Ensino ao público, motivando sobretudo a participação da sociedade civil na elaboração de orçamentos e acompanhamento e revisão dos mesmos no sentido de uma maior inclusão e responsabilização.</w:t>
      </w:r>
    </w:p>
    <w:p>
      <w:pPr>
        <w:pStyle w:val="P68B1DB1Normal1"/>
        <w:spacing w:lineRule="auto" w:line="360" w:beforeAutospacing="1" w:afterAutospacing="1"/>
        <w:jc w:val="both"/>
        <w:rPr>
          <w:rFonts w:ascii="Arial" w:hAnsi="Arial" w:eastAsia="Times New Roman" w:cs="Arial"/>
          <w:color w:val="252525"/>
          <w:sz w:val="24"/>
        </w:rPr>
      </w:pPr>
      <w:r>
        <w:rPr>
          <w:lang w:val="pt-PT"/>
        </w:rPr>
        <w:t xml:space="preserve">Solidariamente, </w:t>
      </w:r>
    </w:p>
    <w:p>
      <w:pPr>
        <w:pStyle w:val="P68B1DB1Normal2"/>
        <w:spacing w:lineRule="auto" w:line="360" w:beforeAutospacing="1" w:afterAutospacing="1"/>
        <w:jc w:val="both"/>
        <w:rPr>
          <w:rFonts w:ascii="Arial" w:hAnsi="Arial" w:eastAsia="Times New Roman" w:cs="Arial"/>
          <w:color w:val="252525"/>
          <w:sz w:val="24"/>
        </w:rPr>
      </w:pPr>
      <w:r>
        <w:rPr>
          <w:lang w:val="pt-PT"/>
        </w:rPr>
        <w:t>xxx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lang w:val="pt-P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0"/>
      <w:lang w:val="pt-P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70c39"/>
    <w:rPr>
      <w:b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sz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70c39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70c3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</w:rPr>
  </w:style>
  <w:style w:type="paragraph" w:styleId="P68B1DB1Normal1">
    <w:name w:val="P68B1DB1-Normal1"/>
    <w:basedOn w:val="Normal"/>
    <w:qFormat/>
    <w:pPr/>
    <w:rPr>
      <w:rFonts w:ascii="Arial" w:hAnsi="Arial" w:eastAsia="Times New Roman" w:cs="Arial"/>
      <w:b/>
      <w:color w:val="252525"/>
      <w:sz w:val="24"/>
    </w:rPr>
  </w:style>
  <w:style w:type="paragraph" w:styleId="P68B1DB1Normal2">
    <w:name w:val="P68B1DB1-Normal2"/>
    <w:basedOn w:val="Normal"/>
    <w:qFormat/>
    <w:pPr/>
    <w:rPr>
      <w:rFonts w:ascii="Arial" w:hAnsi="Arial" w:eastAsia="Times New Roman" w:cs="Arial"/>
      <w:color w:val="252525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LibreOffice/7.3.4.2$Windows_X86_64 LibreOffice_project/728fec16bd5f605073805c3c9e7c4212a0120dc5</Application>
  <AppVersion>15.0000</AppVersion>
  <Pages>2</Pages>
  <Words>471</Words>
  <Characters>2656</Characters>
  <CharactersWithSpaces>3113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2023-04-24T22:19:00Z</dcterms:created>
  <dc:creator>Vernor Muñoz</dc:creator>
  <dc:description/>
  <dc:language>en-GB</dc:language>
  <cp:lastModifiedBy/>
  <dcterms:modified xsi:type="dcterms:W3CDTF">2023-05-22T11:49:01Z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